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9"/>
        <w:spacing w:before="0"/>
        <w:ind w:left="0" w:firstLine="0"/>
        <w:rPr>
          <w:color w:val="000000"/>
        </w:rPr>
      </w:pPr>
      <w:bookmarkStart w:id="0" w:name="_Hlk99524900"/>
      <w:bookmarkEnd w:id="0"/>
    </w:p>
    <w:p>
      <w:pPr>
        <w:rPr>
          <w:color w:val="000000"/>
        </w:rPr>
      </w:pPr>
    </w:p>
    <w:p>
      <w:pPr>
        <w:pStyle w:val="3"/>
        <w:ind w:left="0"/>
        <w:jc w:val="both"/>
        <w:rPr>
          <w:rFonts w:hint="eastAsia" w:ascii="黑体" w:hAnsi="黑体" w:eastAsia="黑体"/>
          <w:b/>
          <w:bCs/>
          <w:sz w:val="72"/>
          <w:szCs w:val="72"/>
          <w:lang w:val="en-US" w:eastAsia="zh-CN"/>
        </w:rPr>
      </w:pPr>
      <w:bookmarkStart w:id="1" w:name="_Toc99525919"/>
      <w:bookmarkStart w:id="2" w:name="_Toc99525452"/>
      <w:bookmarkStart w:id="3" w:name="_Toc99403175"/>
      <w:bookmarkStart w:id="4" w:name="_Toc99527782"/>
      <w:bookmarkStart w:id="5" w:name="_Toc99528500"/>
      <w:bookmarkStart w:id="6" w:name="_Toc99555621"/>
      <w:bookmarkStart w:id="7" w:name="_Toc99538173"/>
      <w:bookmarkStart w:id="8" w:name="_Toc99308122"/>
      <w:bookmarkStart w:id="9" w:name="_Toc31738"/>
      <w:bookmarkStart w:id="10" w:name="_Toc99359243"/>
      <w:bookmarkStart w:id="11" w:name="_Toc99307132"/>
      <w:bookmarkStart w:id="12" w:name="_Toc99308269"/>
      <w:bookmarkStart w:id="13" w:name="_Toc99555568"/>
      <w:bookmarkStart w:id="14" w:name="_Toc99405788"/>
      <w:bookmarkStart w:id="15" w:name="_Toc99443527"/>
      <w:bookmarkStart w:id="16" w:name="_Toc99378990"/>
      <w:bookmarkStart w:id="17" w:name="_Toc99561613"/>
      <w:bookmarkStart w:id="18" w:name="_Toc99467072"/>
      <w:bookmarkStart w:id="19" w:name="_Toc99527556"/>
      <w:bookmarkStart w:id="20" w:name="_Toc18752"/>
      <w:bookmarkStart w:id="21" w:name="_Toc99528765"/>
    </w:p>
    <w:p>
      <w:pPr>
        <w:pStyle w:val="3"/>
        <w:ind w:left="0"/>
        <w:jc w:val="center"/>
        <w:rPr>
          <w:rFonts w:ascii="黑体" w:hAnsi="黑体" w:eastAsia="黑体"/>
          <w:b/>
          <w:bCs/>
          <w:sz w:val="72"/>
          <w:szCs w:val="72"/>
          <w:lang w:val="en-US"/>
        </w:rPr>
      </w:pPr>
    </w:p>
    <w:p>
      <w:pPr>
        <w:pStyle w:val="3"/>
        <w:ind w:left="0"/>
        <w:jc w:val="center"/>
        <w:rPr>
          <w:rFonts w:ascii="黑体" w:hAnsi="黑体" w:eastAsia="黑体"/>
          <w:b/>
          <w:bCs/>
          <w:sz w:val="72"/>
          <w:szCs w:val="72"/>
          <w:lang w:val="en-US"/>
        </w:rPr>
      </w:pPr>
    </w:p>
    <w:p>
      <w:pPr>
        <w:ind w:left="0"/>
        <w:jc w:val="center"/>
        <w:outlineLvl w:val="9"/>
        <w:rPr>
          <w:rFonts w:ascii="黑体" w:hAnsi="黑体" w:eastAsia="黑体"/>
          <w:b/>
          <w:bCs/>
          <w:sz w:val="72"/>
          <w:szCs w:val="72"/>
          <w:lang w:val="en-US"/>
        </w:rPr>
      </w:pPr>
      <w:r>
        <w:rPr>
          <w:rFonts w:hint="eastAsia" w:ascii="黑体" w:hAnsi="黑体" w:eastAsia="黑体"/>
          <w:b/>
          <w:bCs/>
          <w:color w:val="auto"/>
          <w:sz w:val="72"/>
          <w:szCs w:val="72"/>
          <w:lang w:val="en-US" w:eastAsia="zh-CN"/>
        </w:rPr>
        <w:t>云南省</w:t>
      </w:r>
      <w:r>
        <w:rPr>
          <w:rFonts w:ascii="黑体" w:hAnsi="黑体" w:eastAsia="黑体"/>
          <w:b/>
          <w:bCs/>
          <w:sz w:val="72"/>
          <w:szCs w:val="72"/>
          <w:lang w:val="en-US"/>
        </w:rPr>
        <w:t>2022年</w:t>
      </w:r>
      <w:r>
        <w:rPr>
          <w:rFonts w:hint="eastAsia" w:ascii="黑体" w:hAnsi="黑体" w:eastAsia="黑体"/>
          <w:b/>
          <w:bCs/>
          <w:sz w:val="72"/>
          <w:szCs w:val="72"/>
          <w:lang w:val="en-US" w:eastAsia="zh-CN"/>
        </w:rPr>
        <w:t>新的</w:t>
      </w:r>
      <w:r>
        <w:rPr>
          <w:rFonts w:ascii="黑体" w:hAnsi="黑体" w:eastAsia="黑体"/>
          <w:b/>
          <w:bCs/>
          <w:sz w:val="72"/>
          <w:szCs w:val="72"/>
          <w:lang w:val="en-US"/>
        </w:rPr>
        <w:t>组合式</w:t>
      </w:r>
    </w:p>
    <w:p>
      <w:pPr>
        <w:ind w:left="0"/>
        <w:jc w:val="center"/>
        <w:outlineLvl w:val="9"/>
        <w:rPr>
          <w:rFonts w:hint="eastAsia" w:ascii="黑体" w:hAnsi="黑体" w:eastAsia="黑体"/>
          <w:b/>
          <w:bCs/>
          <w:sz w:val="72"/>
          <w:szCs w:val="72"/>
          <w:lang w:val="en-US" w:eastAsia="zh-CN"/>
        </w:rPr>
      </w:pPr>
      <w:r>
        <w:rPr>
          <w:rFonts w:hint="eastAsia" w:ascii="黑体" w:hAnsi="黑体" w:eastAsia="黑体"/>
          <w:b/>
          <w:bCs/>
          <w:sz w:val="72"/>
          <w:szCs w:val="72"/>
          <w:lang w:val="en-US"/>
        </w:rPr>
        <w:t>税费支持</w:t>
      </w:r>
      <w:r>
        <w:rPr>
          <w:rFonts w:ascii="黑体" w:hAnsi="黑体" w:eastAsia="黑体"/>
          <w:b/>
          <w:bCs/>
          <w:sz w:val="72"/>
          <w:szCs w:val="72"/>
          <w:lang w:val="en-US"/>
        </w:rPr>
        <w:t>政策</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r>
        <w:rPr>
          <w:rFonts w:hint="eastAsia" w:ascii="黑体" w:hAnsi="黑体" w:eastAsia="黑体"/>
          <w:b/>
          <w:bCs/>
          <w:sz w:val="72"/>
          <w:szCs w:val="72"/>
          <w:lang w:val="en-US" w:eastAsia="zh-CN"/>
        </w:rPr>
        <w:t>指引</w:t>
      </w:r>
    </w:p>
    <w:p>
      <w:pPr>
        <w:rPr>
          <w:color w:val="000000"/>
        </w:rPr>
      </w:pPr>
    </w:p>
    <w:p>
      <w:pPr>
        <w:rPr>
          <w:color w:val="000000"/>
        </w:rPr>
      </w:pPr>
    </w:p>
    <w:p>
      <w:pPr>
        <w:rPr>
          <w:b/>
          <w:bCs/>
          <w:color w:val="000000"/>
        </w:rPr>
      </w:pPr>
    </w:p>
    <w:p>
      <w:pPr>
        <w:jc w:val="both"/>
        <w:rPr>
          <w:b/>
          <w:bCs/>
          <w:color w:val="000000"/>
        </w:rPr>
      </w:pPr>
    </w:p>
    <w:p>
      <w:pPr>
        <w:jc w:val="both"/>
        <w:rPr>
          <w:rFonts w:ascii="黑体" w:hAnsi="黑体" w:eastAsia="黑体" w:cs="黑体"/>
          <w:b/>
          <w:bCs/>
          <w:color w:val="000000"/>
          <w:sz w:val="32"/>
          <w:szCs w:val="32"/>
          <w:lang w:val="en-US"/>
        </w:rPr>
      </w:pPr>
    </w:p>
    <w:p>
      <w:pPr>
        <w:jc w:val="center"/>
        <w:rPr>
          <w:rFonts w:hint="eastAsia" w:ascii="黑体" w:hAnsi="黑体" w:eastAsia="黑体" w:cs="黑体"/>
          <w:b/>
          <w:bCs/>
          <w:color w:val="000000"/>
          <w:sz w:val="32"/>
          <w:szCs w:val="32"/>
          <w:lang w:val="en-US"/>
        </w:rPr>
      </w:pPr>
    </w:p>
    <w:p>
      <w:pPr>
        <w:jc w:val="center"/>
        <w:rPr>
          <w:rFonts w:hint="eastAsia" w:ascii="黑体" w:hAnsi="黑体" w:eastAsia="黑体" w:cs="黑体"/>
          <w:b/>
          <w:bCs/>
          <w:color w:val="000000"/>
          <w:sz w:val="32"/>
          <w:szCs w:val="32"/>
          <w:lang w:val="en-US"/>
        </w:rPr>
      </w:pPr>
    </w:p>
    <w:p>
      <w:pPr>
        <w:jc w:val="center"/>
        <w:rPr>
          <w:rFonts w:hint="eastAsia" w:ascii="黑体" w:hAnsi="黑体" w:eastAsia="黑体" w:cs="黑体"/>
          <w:b/>
          <w:bCs/>
          <w:color w:val="000000"/>
          <w:sz w:val="32"/>
          <w:szCs w:val="32"/>
          <w:lang w:val="en-US"/>
        </w:rPr>
      </w:pPr>
    </w:p>
    <w:p>
      <w:pPr>
        <w:jc w:val="center"/>
        <w:rPr>
          <w:rFonts w:hint="eastAsia" w:ascii="黑体" w:hAnsi="黑体" w:eastAsia="黑体" w:cs="黑体"/>
          <w:b/>
          <w:bCs/>
          <w:color w:val="000000"/>
          <w:sz w:val="32"/>
          <w:szCs w:val="32"/>
          <w:lang w:val="en-US"/>
        </w:rPr>
      </w:pPr>
    </w:p>
    <w:p>
      <w:pPr>
        <w:jc w:val="center"/>
        <w:rPr>
          <w:rFonts w:hint="eastAsia" w:ascii="黑体" w:hAnsi="黑体" w:eastAsia="黑体" w:cs="黑体"/>
          <w:b/>
          <w:bCs/>
          <w:color w:val="000000"/>
          <w:sz w:val="32"/>
          <w:szCs w:val="32"/>
          <w:lang w:val="en-US"/>
        </w:rPr>
      </w:pPr>
    </w:p>
    <w:p>
      <w:pPr>
        <w:pStyle w:val="3"/>
        <w:ind w:left="0"/>
        <w:rPr>
          <w:rFonts w:ascii="黑体" w:hAnsi="黑体" w:eastAsia="黑体"/>
          <w:b/>
          <w:bCs/>
          <w:color w:val="000000"/>
          <w:lang w:val="en-US"/>
        </w:rPr>
      </w:pPr>
      <w:bookmarkStart w:id="22" w:name="_Toc99467073"/>
      <w:bookmarkStart w:id="23" w:name="_Toc3532"/>
      <w:bookmarkStart w:id="24" w:name="_Toc5645"/>
      <w:bookmarkStart w:id="25" w:name="_Toc21099"/>
      <w:bookmarkStart w:id="26" w:name="_Toc99443528"/>
      <w:bookmarkStart w:id="27" w:name="_Toc22856"/>
      <w:bookmarkStart w:id="28" w:name="_Toc14058"/>
      <w:bookmarkStart w:id="29" w:name="_Toc99405789"/>
      <w:bookmarkStart w:id="30" w:name="_Toc8122"/>
      <w:bookmarkStart w:id="31" w:name="_Toc99378991"/>
      <w:bookmarkStart w:id="32" w:name="_Toc99308270"/>
      <w:bookmarkStart w:id="33" w:name="_Toc99308667"/>
      <w:bookmarkStart w:id="34" w:name="_Toc99525453"/>
      <w:bookmarkStart w:id="35" w:name="_Toc99403176"/>
      <w:bookmarkStart w:id="36" w:name="_Toc9618"/>
      <w:bookmarkStart w:id="37" w:name="_Toc99307133"/>
      <w:bookmarkStart w:id="38" w:name="_Toc13403"/>
      <w:bookmarkStart w:id="39" w:name="_Toc99308123"/>
      <w:bookmarkStart w:id="40" w:name="_Toc6015"/>
      <w:bookmarkStart w:id="41" w:name="_Toc99359244"/>
      <w:bookmarkStart w:id="42" w:name="_Toc17089"/>
      <w:bookmarkStart w:id="43" w:name="_Toc99525920"/>
    </w:p>
    <w:p>
      <w:pPr>
        <w:rPr>
          <w:rFonts w:ascii="黑体" w:hAnsi="黑体" w:eastAsia="黑体"/>
          <w:b/>
          <w:bCs/>
          <w:color w:val="000000"/>
          <w:lang w:val="en-US"/>
        </w:rPr>
      </w:pPr>
    </w:p>
    <w:p>
      <w:pPr>
        <w:rPr>
          <w:rFonts w:ascii="黑体" w:hAnsi="黑体" w:eastAsia="黑体"/>
          <w:b/>
          <w:bCs/>
          <w:color w:val="000000"/>
          <w:lang w:val="en-US"/>
        </w:rPr>
      </w:pPr>
    </w:p>
    <w:p>
      <w:pPr>
        <w:rPr>
          <w:rFonts w:ascii="黑体" w:hAnsi="黑体" w:eastAsia="黑体"/>
          <w:b/>
          <w:bCs/>
          <w:color w:val="000000"/>
          <w:lang w:val="en-US"/>
        </w:rPr>
      </w:pPr>
    </w:p>
    <w:p>
      <w:pPr>
        <w:rPr>
          <w:rFonts w:ascii="黑体" w:hAnsi="黑体" w:eastAsia="黑体"/>
          <w:b/>
          <w:bCs/>
          <w:color w:val="000000"/>
          <w:lang w:val="en-US"/>
        </w:rPr>
      </w:pPr>
    </w:p>
    <w:p>
      <w:pPr>
        <w:rPr>
          <w:rFonts w:ascii="黑体" w:hAnsi="黑体" w:eastAsia="黑体"/>
          <w:b/>
          <w:bCs/>
          <w:color w:val="000000"/>
          <w:lang w:val="en-US"/>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ascii="楷体_GB2312" w:hAnsi="楷体_GB2312" w:eastAsia="楷体_GB2312" w:cs="楷体_GB2312"/>
          <w:b/>
          <w:bCs/>
          <w:color w:val="000000"/>
          <w:sz w:val="36"/>
          <w:szCs w:val="36"/>
          <w:lang w:val="en-US"/>
        </w:rPr>
      </w:pP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ascii="楷体_GB2312" w:hAnsi="楷体_GB2312" w:eastAsia="楷体_GB2312" w:cs="楷体_GB2312"/>
          <w:b/>
          <w:bCs/>
          <w:color w:val="000000"/>
          <w:sz w:val="36"/>
          <w:szCs w:val="36"/>
          <w:lang w:val="en-US" w:eastAsia="zh-CN"/>
        </w:rPr>
      </w:pPr>
      <w:r>
        <w:rPr>
          <w:rFonts w:hint="eastAsia" w:ascii="楷体_GB2312" w:hAnsi="楷体_GB2312" w:eastAsia="楷体_GB2312" w:cs="楷体_GB2312"/>
          <w:b/>
          <w:bCs/>
          <w:color w:val="000000"/>
          <w:sz w:val="36"/>
          <w:szCs w:val="36"/>
          <w:lang w:val="en-US" w:eastAsia="zh-CN"/>
        </w:rPr>
        <w:t>国家税务总局云南省税务局</w:t>
      </w: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ascii="楷体_GB2312" w:hAnsi="楷体_GB2312" w:eastAsia="楷体_GB2312" w:cs="楷体_GB2312"/>
          <w:b/>
          <w:bCs/>
          <w:color w:val="000000"/>
          <w:sz w:val="36"/>
          <w:szCs w:val="36"/>
          <w:lang w:val="en-US" w:eastAsia="zh-CN"/>
        </w:rPr>
      </w:pPr>
      <w:r>
        <w:rPr>
          <w:rFonts w:hint="eastAsia" w:ascii="楷体_GB2312" w:hAnsi="楷体_GB2312" w:eastAsia="楷体_GB2312" w:cs="楷体_GB2312"/>
          <w:b/>
          <w:bCs/>
          <w:color w:val="000000"/>
          <w:sz w:val="36"/>
          <w:szCs w:val="36"/>
          <w:lang w:val="en-US" w:eastAsia="zh-CN"/>
        </w:rPr>
        <w:t xml:space="preserve"> 2022年4月</w:t>
      </w:r>
    </w:p>
    <w:p>
      <w:pPr>
        <w:rPr>
          <w:rFonts w:ascii="黑体" w:hAnsi="黑体" w:eastAsia="黑体"/>
          <w:b/>
          <w:bCs/>
          <w:color w:val="000000"/>
          <w:lang w:val="en-US"/>
        </w:rPr>
      </w:pPr>
    </w:p>
    <w:p>
      <w:pPr>
        <w:rPr>
          <w:rFonts w:ascii="黑体" w:hAnsi="黑体" w:eastAsia="黑体"/>
          <w:b/>
          <w:bCs/>
          <w:color w:val="000000"/>
          <w:lang w:val="en-US"/>
        </w:rPr>
        <w:sectPr>
          <w:headerReference r:id="rId6" w:type="first"/>
          <w:headerReference r:id="rId5" w:type="default"/>
          <w:footerReference r:id="rId7" w:type="default"/>
          <w:pgSz w:w="11910" w:h="16840"/>
          <w:pgMar w:top="1500" w:right="1500" w:bottom="1180" w:left="1280" w:header="0" w:footer="993" w:gutter="0"/>
          <w:pgNumType w:start="1"/>
          <w:cols w:space="720" w:num="1"/>
          <w:titlePg/>
          <w:docGrid w:linePitch="299" w:charSpace="0"/>
        </w:sectPr>
      </w:pPr>
    </w:p>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jc w:val="center"/>
        <w:textAlignment w:val="auto"/>
        <w:rPr>
          <w:rFonts w:hint="eastAsia" w:ascii="方正小标宋简体" w:hAnsi="方正小标宋简体" w:eastAsia="方正小标宋简体" w:cs="方正小标宋简体"/>
          <w:b w:val="0"/>
          <w:bCs w:val="0"/>
          <w:i w:val="0"/>
          <w:iCs w:val="0"/>
          <w:caps w:val="0"/>
          <w:color w:val="000000"/>
          <w:spacing w:val="0"/>
          <w:sz w:val="36"/>
          <w:szCs w:val="36"/>
          <w:shd w:val="clear" w:color="auto" w:fill="FFFFFF"/>
          <w:lang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b w:val="0"/>
          <w:bCs w:val="0"/>
          <w:i w:val="0"/>
          <w:iCs w:val="0"/>
          <w:caps w:val="0"/>
          <w:color w:val="000000"/>
          <w:spacing w:val="0"/>
          <w:sz w:val="36"/>
          <w:szCs w:val="36"/>
          <w:shd w:val="clear" w:color="auto" w:fill="FFFFFF"/>
          <w:lang w:eastAsia="zh-CN"/>
        </w:rPr>
      </w:pPr>
      <w:r>
        <w:rPr>
          <w:rFonts w:hint="eastAsia" w:ascii="方正小标宋简体" w:hAnsi="方正小标宋简体" w:eastAsia="方正小标宋简体" w:cs="方正小标宋简体"/>
          <w:b w:val="0"/>
          <w:bCs w:val="0"/>
          <w:i w:val="0"/>
          <w:iCs w:val="0"/>
          <w:caps w:val="0"/>
          <w:color w:val="000000"/>
          <w:spacing w:val="0"/>
          <w:sz w:val="36"/>
          <w:szCs w:val="36"/>
          <w:shd w:val="clear" w:color="auto" w:fill="FFFFFF"/>
          <w:lang w:eastAsia="zh-CN"/>
        </w:rPr>
        <w:t>前言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b w:val="0"/>
          <w:bCs w:val="0"/>
          <w:i w:val="0"/>
          <w:iCs w:val="0"/>
          <w:caps w:val="0"/>
          <w:color w:val="000000"/>
          <w:spacing w:val="0"/>
          <w:sz w:val="32"/>
          <w:szCs w:val="32"/>
          <w:shd w:val="clear" w:color="auto"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t>2022年，党中央、国务院决定</w:t>
      </w:r>
      <w:r>
        <w:rPr>
          <w:rFonts w:hint="eastAsia" w:ascii="仿宋_GB2312" w:hAnsi="仿宋_GB2312" w:eastAsia="仿宋_GB2312" w:cs="仿宋_GB2312"/>
          <w:b w:val="0"/>
          <w:bCs w:val="0"/>
          <w:i w:val="0"/>
          <w:iCs w:val="0"/>
          <w:caps w:val="0"/>
          <w:color w:val="000000"/>
          <w:spacing w:val="0"/>
          <w:sz w:val="32"/>
          <w:szCs w:val="32"/>
          <w:shd w:val="clear" w:color="auto" w:fill="FFFFFF"/>
        </w:rPr>
        <w:t>实施新的组合式税费支持政策，</w:t>
      </w: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进一步为市场主体</w:t>
      </w:r>
      <w:r>
        <w:rPr>
          <w:rFonts w:hint="eastAsia" w:ascii="仿宋_GB2312" w:hAnsi="仿宋_GB2312" w:eastAsia="仿宋_GB2312" w:cs="仿宋_GB2312"/>
          <w:b w:val="0"/>
          <w:bCs w:val="0"/>
          <w:i w:val="0"/>
          <w:iCs w:val="0"/>
          <w:caps w:val="0"/>
          <w:color w:val="000000"/>
          <w:spacing w:val="0"/>
          <w:sz w:val="32"/>
          <w:szCs w:val="32"/>
          <w:shd w:val="clear" w:color="auto" w:fill="FFFFFF"/>
        </w:rPr>
        <w:t>减负纾困</w:t>
      </w: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，这</w:t>
      </w:r>
      <w:r>
        <w:rPr>
          <w:rFonts w:hint="eastAsia" w:ascii="仿宋_GB2312" w:hAnsi="仿宋_GB2312" w:eastAsia="仿宋_GB2312" w:cs="仿宋_GB2312"/>
          <w:b w:val="0"/>
          <w:bCs w:val="0"/>
          <w:i w:val="0"/>
          <w:iCs w:val="0"/>
          <w:caps w:val="0"/>
          <w:color w:val="000000"/>
          <w:spacing w:val="0"/>
          <w:sz w:val="32"/>
          <w:szCs w:val="32"/>
          <w:shd w:val="clear" w:color="auto" w:fill="FFFFFF"/>
        </w:rPr>
        <w:t>是以习近平同志为核心的党中央统筹国内国际两个大局、因时应势强化跨周期和逆周期调节的重要举措，是稳定预期、助企纾困的关键一招。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eastAsia" w:ascii="仿宋_GB2312" w:hAnsi="仿宋_GB2312" w:eastAsia="仿宋_GB2312" w:cs="仿宋_GB2312"/>
          <w:b w:val="0"/>
          <w:bCs w:val="0"/>
          <w:i w:val="0"/>
          <w:iCs w:val="0"/>
          <w:caps w:val="0"/>
          <w:color w:val="000000"/>
          <w:spacing w:val="0"/>
          <w:sz w:val="32"/>
          <w:szCs w:val="32"/>
          <w:shd w:val="clear" w:color="auto" w:fill="FFFFFF"/>
        </w:rPr>
      </w:pP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为</w:t>
      </w:r>
      <w:r>
        <w:rPr>
          <w:rFonts w:hint="eastAsia" w:ascii="仿宋_GB2312" w:hAnsi="仿宋_GB2312" w:eastAsia="仿宋_GB2312" w:cs="仿宋_GB2312"/>
          <w:b w:val="0"/>
          <w:bCs w:val="0"/>
          <w:i w:val="0"/>
          <w:iCs w:val="0"/>
          <w:caps w:val="0"/>
          <w:color w:val="000000"/>
          <w:spacing w:val="0"/>
          <w:sz w:val="32"/>
          <w:szCs w:val="32"/>
          <w:shd w:val="clear" w:color="auto" w:fill="FFFFFF"/>
        </w:rPr>
        <w:t>坚决贯彻落实党中央、国务院决策部署，全力以赴确保新的组合式税费支持</w:t>
      </w: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系列</w:t>
      </w:r>
      <w:r>
        <w:rPr>
          <w:rFonts w:hint="eastAsia" w:ascii="仿宋_GB2312" w:hAnsi="仿宋_GB2312" w:eastAsia="仿宋_GB2312" w:cs="仿宋_GB2312"/>
          <w:b w:val="0"/>
          <w:bCs w:val="0"/>
          <w:i w:val="0"/>
          <w:iCs w:val="0"/>
          <w:caps w:val="0"/>
          <w:color w:val="000000"/>
          <w:spacing w:val="0"/>
          <w:sz w:val="32"/>
          <w:szCs w:val="32"/>
          <w:shd w:val="clear" w:color="auto" w:fill="FFFFFF"/>
        </w:rPr>
        <w:t>政策落地生根</w:t>
      </w: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w:t>
      </w:r>
      <w:r>
        <w:rPr>
          <w:rFonts w:hint="eastAsia" w:ascii="仿宋_GB2312" w:hAnsi="仿宋_GB2312" w:eastAsia="仿宋_GB2312" w:cs="仿宋_GB2312"/>
          <w:b w:val="0"/>
          <w:bCs w:val="0"/>
          <w:i w:val="0"/>
          <w:iCs w:val="0"/>
          <w:caps w:val="0"/>
          <w:color w:val="000000"/>
          <w:spacing w:val="0"/>
          <w:sz w:val="32"/>
          <w:szCs w:val="32"/>
          <w:shd w:val="clear" w:color="auto" w:fill="FFFFFF"/>
        </w:rPr>
        <w:t>国家税务总局云南省税务局</w:t>
      </w: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从</w:t>
      </w: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t>新出台的税费支持政策、</w:t>
      </w: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延续实施的税费支持政策</w:t>
      </w: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t>两</w:t>
      </w: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个方面</w:t>
      </w:r>
      <w:r>
        <w:rPr>
          <w:rFonts w:hint="eastAsia" w:ascii="仿宋_GB2312" w:hAnsi="仿宋_GB2312" w:eastAsia="仿宋_GB2312" w:cs="仿宋_GB2312"/>
          <w:b w:val="0"/>
          <w:bCs w:val="0"/>
          <w:i w:val="0"/>
          <w:iCs w:val="0"/>
          <w:caps w:val="0"/>
          <w:color w:val="000000"/>
          <w:spacing w:val="0"/>
          <w:sz w:val="32"/>
          <w:szCs w:val="32"/>
          <w:shd w:val="clear" w:color="auto" w:fill="FFFFFF"/>
        </w:rPr>
        <w:t>归集了为市场主体减负纾困现行有效的税费优惠政策,并按照</w:t>
      </w: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享受主体、</w:t>
      </w:r>
      <w:r>
        <w:rPr>
          <w:rFonts w:hint="eastAsia" w:ascii="仿宋_GB2312" w:hAnsi="仿宋_GB2312" w:eastAsia="仿宋_GB2312" w:cs="仿宋_GB2312"/>
          <w:b w:val="0"/>
          <w:bCs w:val="0"/>
          <w:i w:val="0"/>
          <w:iCs w:val="0"/>
          <w:caps w:val="0"/>
          <w:color w:val="000000"/>
          <w:spacing w:val="0"/>
          <w:sz w:val="32"/>
          <w:szCs w:val="32"/>
          <w:shd w:val="clear" w:color="auto" w:fill="FFFFFF"/>
        </w:rPr>
        <w:t>优惠内容、</w:t>
      </w: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享受条件、</w:t>
      </w:r>
      <w:r>
        <w:rPr>
          <w:rFonts w:hint="eastAsia" w:ascii="仿宋_GB2312" w:hAnsi="仿宋_GB2312" w:eastAsia="仿宋_GB2312" w:cs="仿宋_GB2312"/>
          <w:b w:val="0"/>
          <w:bCs w:val="0"/>
          <w:i w:val="0"/>
          <w:iCs w:val="0"/>
          <w:caps w:val="0"/>
          <w:color w:val="000000"/>
          <w:spacing w:val="0"/>
          <w:sz w:val="32"/>
          <w:szCs w:val="32"/>
          <w:shd w:val="clear" w:color="auto" w:fill="FFFFFF"/>
        </w:rPr>
        <w:t>政策依据四个方面逐条梳理,方便纳税人和税务干部系统掌握,积极适用相关税费优惠政策。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eastAsia" w:ascii="仿宋_GB2312" w:hAnsi="仿宋_GB2312" w:eastAsia="仿宋_GB2312" w:cs="仿宋_GB2312"/>
          <w:b w:val="0"/>
          <w:bCs w:val="0"/>
          <w:i w:val="0"/>
          <w:iCs w:val="0"/>
          <w:caps w:val="0"/>
          <w:color w:val="000000"/>
          <w:spacing w:val="0"/>
          <w:sz w:val="32"/>
          <w:szCs w:val="32"/>
          <w:shd w:val="clear" w:color="auto" w:fill="FFFFFF"/>
        </w:rPr>
      </w:pPr>
      <w:r>
        <w:rPr>
          <w:rFonts w:hint="eastAsia" w:ascii="仿宋_GB2312" w:hAnsi="仿宋_GB2312" w:eastAsia="仿宋_GB2312" w:cs="仿宋_GB2312"/>
          <w:b w:val="0"/>
          <w:bCs w:val="0"/>
          <w:i w:val="0"/>
          <w:iCs w:val="0"/>
          <w:caps w:val="0"/>
          <w:color w:val="000000"/>
          <w:spacing w:val="0"/>
          <w:sz w:val="32"/>
          <w:szCs w:val="32"/>
          <w:shd w:val="clear" w:color="auto" w:fill="FFFFFF"/>
        </w:rPr>
        <w:t>本汇编归集的政策截止日期为2022年4月。汇编是对纳税人和社会各界适用税费政策提供的政策参考,不是税收执法或者申请享受优惠政策的直接依据,适用中请按相关政策文件的规定执行。云南省税务局将根据国家政策变化定期对汇编内容进行更新完善。</w:t>
      </w:r>
    </w:p>
    <w:p>
      <w:pPr>
        <w:keepNext w:val="0"/>
        <w:keepLines w:val="0"/>
        <w:pageBreakBefore w:val="0"/>
        <w:kinsoku/>
        <w:wordWrap/>
        <w:overflowPunct/>
        <w:topLinePunct w:val="0"/>
        <w:bidi w:val="0"/>
        <w:adjustRightInd/>
        <w:snapToGrid/>
        <w:spacing w:line="600" w:lineRule="exact"/>
        <w:jc w:val="center"/>
        <w:textAlignment w:val="auto"/>
        <w:rPr>
          <w:b/>
          <w:bCs/>
          <w:color w:val="000000"/>
          <w:sz w:val="44"/>
          <w:szCs w:val="44"/>
        </w:rPr>
      </w:pPr>
      <w:r>
        <w:rPr>
          <w:rFonts w:hint="eastAsia" w:ascii="仿宋" w:hAnsi="仿宋" w:eastAsia="仿宋" w:cs="仿宋"/>
          <w:kern w:val="2"/>
          <w:sz w:val="32"/>
          <w:szCs w:val="32"/>
          <w:lang w:val="en-US" w:eastAsia="zh-CN" w:bidi="ar-SA"/>
        </w:rPr>
        <w:br w:type="page"/>
      </w:r>
      <w:r>
        <w:rPr>
          <w:rFonts w:hint="eastAsia"/>
          <w:b/>
          <w:bCs/>
          <w:color w:val="000000"/>
          <w:sz w:val="44"/>
          <w:szCs w:val="44"/>
          <w:lang w:eastAsia="zh-CN"/>
        </w:rPr>
        <w:t>政策</w:t>
      </w:r>
      <w:r>
        <w:rPr>
          <w:rFonts w:hint="eastAsia"/>
          <w:b/>
          <w:bCs/>
          <w:color w:val="000000"/>
          <w:sz w:val="44"/>
          <w:szCs w:val="44"/>
        </w:rPr>
        <w:t>目录</w:t>
      </w:r>
    </w:p>
    <w:p>
      <w:pPr>
        <w:jc w:val="center"/>
        <w:rPr>
          <w:rFonts w:hint="eastAsia" w:ascii="楷体_GB2312" w:hAnsi="楷体_GB2312" w:eastAsia="楷体_GB2312" w:cs="楷体_GB2312"/>
          <w:b/>
          <w:bCs/>
          <w:color w:val="000000"/>
          <w:sz w:val="24"/>
          <w:szCs w:val="24"/>
        </w:rPr>
      </w:pPr>
    </w:p>
    <w:p>
      <w:pPr>
        <w:jc w:val="center"/>
        <w:rPr>
          <w:rFonts w:hint="eastAsia" w:ascii="楷体_GB2312" w:hAnsi="楷体_GB2312" w:eastAsia="楷体_GB2312" w:cs="楷体_GB2312"/>
          <w:b w:val="0"/>
          <w:bCs w:val="0"/>
          <w:color w:val="000000"/>
          <w:sz w:val="24"/>
          <w:szCs w:val="24"/>
        </w:rPr>
      </w:pPr>
    </w:p>
    <w:p>
      <w:pPr>
        <w:pStyle w:val="12"/>
        <w:tabs>
          <w:tab w:val="right" w:leader="dot" w:pos="9130"/>
        </w:tabs>
      </w:pPr>
      <w:r>
        <w:rPr>
          <w:rFonts w:hint="eastAsia" w:ascii="宋体" w:hAnsi="宋体" w:eastAsia="宋体" w:cs="宋体"/>
          <w:b w:val="0"/>
          <w:bCs w:val="0"/>
          <w:color w:val="auto"/>
          <w:sz w:val="30"/>
          <w:szCs w:val="30"/>
        </w:rPr>
        <w:fldChar w:fldCharType="begin"/>
      </w:r>
      <w:r>
        <w:rPr>
          <w:rFonts w:hint="eastAsia" w:ascii="宋体" w:hAnsi="宋体" w:eastAsia="宋体" w:cs="宋体"/>
          <w:b w:val="0"/>
          <w:bCs w:val="0"/>
          <w:color w:val="auto"/>
          <w:sz w:val="30"/>
          <w:szCs w:val="30"/>
        </w:rPr>
        <w:instrText xml:space="preserve">TOC \o "1-2" \h \u </w:instrText>
      </w:r>
      <w:r>
        <w:rPr>
          <w:rFonts w:hint="eastAsia" w:ascii="宋体" w:hAnsi="宋体" w:eastAsia="宋体" w:cs="宋体"/>
          <w:b w:val="0"/>
          <w:bCs w:val="0"/>
          <w:color w:val="auto"/>
          <w:sz w:val="30"/>
          <w:szCs w:val="30"/>
        </w:rPr>
        <w:fldChar w:fldCharType="separate"/>
      </w:r>
      <w:r>
        <w:rPr>
          <w:rFonts w:hint="eastAsia" w:ascii="宋体" w:hAnsi="宋体" w:eastAsia="宋体" w:cs="宋体"/>
          <w:bCs w:val="0"/>
          <w:color w:val="auto"/>
          <w:szCs w:val="30"/>
        </w:rPr>
        <w:fldChar w:fldCharType="begin"/>
      </w:r>
      <w:r>
        <w:rPr>
          <w:rFonts w:hint="eastAsia" w:ascii="宋体" w:hAnsi="宋体" w:eastAsia="宋体" w:cs="宋体"/>
          <w:bCs w:val="0"/>
          <w:szCs w:val="30"/>
        </w:rPr>
        <w:instrText xml:space="preserve"> HYPERLINK \l _Toc24492 </w:instrText>
      </w:r>
      <w:r>
        <w:rPr>
          <w:rFonts w:hint="eastAsia" w:ascii="宋体" w:hAnsi="宋体" w:eastAsia="宋体" w:cs="宋体"/>
          <w:bCs w:val="0"/>
          <w:szCs w:val="30"/>
        </w:rPr>
        <w:fldChar w:fldCharType="separate"/>
      </w:r>
      <w:r>
        <w:rPr>
          <w:rFonts w:hint="eastAsia" w:ascii="黑体" w:eastAsia="黑体"/>
          <w:bCs/>
          <w:szCs w:val="32"/>
          <w:lang w:val="en-US" w:eastAsia="zh-CN"/>
        </w:rPr>
        <w:t>一、新出台的税费支持</w:t>
      </w:r>
      <w:r>
        <w:rPr>
          <w:rFonts w:hint="eastAsia" w:ascii="黑体" w:eastAsia="黑体"/>
          <w:bCs/>
          <w:szCs w:val="32"/>
          <w:lang w:val="en-US"/>
        </w:rPr>
        <w:t>政策</w:t>
      </w:r>
      <w:r>
        <w:tab/>
      </w:r>
      <w:r>
        <w:fldChar w:fldCharType="begin"/>
      </w:r>
      <w:r>
        <w:instrText xml:space="preserve"> PAGEREF _Toc24492 \h </w:instrText>
      </w:r>
      <w:r>
        <w:fldChar w:fldCharType="separate"/>
      </w:r>
      <w:r>
        <w:t>4</w:t>
      </w:r>
      <w:r>
        <w:fldChar w:fldCharType="end"/>
      </w:r>
      <w:r>
        <w:rPr>
          <w:rFonts w:hint="eastAsia" w:ascii="宋体" w:hAnsi="宋体" w:eastAsia="宋体" w:cs="宋体"/>
          <w:bCs w:val="0"/>
          <w:color w:val="auto"/>
          <w:szCs w:val="30"/>
        </w:rPr>
        <w:fldChar w:fldCharType="end"/>
      </w:r>
    </w:p>
    <w:p>
      <w:pPr>
        <w:pStyle w:val="13"/>
        <w:tabs>
          <w:tab w:val="right" w:leader="dot" w:pos="9130"/>
        </w:tabs>
      </w:pPr>
      <w:r>
        <w:rPr>
          <w:rFonts w:hint="eastAsia" w:ascii="宋体" w:hAnsi="宋体" w:eastAsia="宋体" w:cs="宋体"/>
          <w:bCs w:val="0"/>
          <w:color w:val="auto"/>
          <w:szCs w:val="30"/>
        </w:rPr>
        <w:fldChar w:fldCharType="begin"/>
      </w:r>
      <w:r>
        <w:rPr>
          <w:rFonts w:hint="eastAsia" w:ascii="宋体" w:hAnsi="宋体" w:eastAsia="宋体" w:cs="宋体"/>
          <w:bCs w:val="0"/>
          <w:szCs w:val="30"/>
        </w:rPr>
        <w:instrText xml:space="preserve"> HYPERLINK \l _Toc27242 </w:instrText>
      </w:r>
      <w:r>
        <w:rPr>
          <w:rFonts w:hint="eastAsia" w:ascii="宋体" w:hAnsi="宋体" w:eastAsia="宋体" w:cs="宋体"/>
          <w:bCs w:val="0"/>
          <w:szCs w:val="30"/>
        </w:rPr>
        <w:fldChar w:fldCharType="separate"/>
      </w:r>
      <w:r>
        <w:rPr>
          <w:rFonts w:hint="eastAsia"/>
          <w:szCs w:val="28"/>
          <w:lang w:val="en-US" w:eastAsia="zh-CN"/>
        </w:rPr>
        <w:t>（一）</w:t>
      </w:r>
      <w:r>
        <w:rPr>
          <w:rFonts w:hint="eastAsia"/>
          <w:szCs w:val="28"/>
          <w:lang w:val="en-US"/>
        </w:rPr>
        <w:t>小微企业增值税留抵退税政策</w:t>
      </w:r>
      <w:r>
        <w:tab/>
      </w:r>
      <w:r>
        <w:fldChar w:fldCharType="begin"/>
      </w:r>
      <w:r>
        <w:instrText xml:space="preserve"> PAGEREF _Toc27242 \h </w:instrText>
      </w:r>
      <w:r>
        <w:fldChar w:fldCharType="separate"/>
      </w:r>
      <w:r>
        <w:t>4</w:t>
      </w:r>
      <w:r>
        <w:fldChar w:fldCharType="end"/>
      </w:r>
      <w:r>
        <w:rPr>
          <w:rFonts w:hint="eastAsia" w:ascii="宋体" w:hAnsi="宋体" w:eastAsia="宋体" w:cs="宋体"/>
          <w:bCs w:val="0"/>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_Toc24161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bidi="zh-CN"/>
        </w:rPr>
        <w:t>（二）</w:t>
      </w:r>
      <w:r>
        <w:rPr>
          <w:rFonts w:hint="eastAsia" w:asciiTheme="minorEastAsia" w:hAnsiTheme="minorEastAsia" w:eastAsiaTheme="minorEastAsia" w:cstheme="minorEastAsia"/>
          <w:b/>
          <w:bCs/>
          <w:szCs w:val="28"/>
          <w:lang w:val="en-US"/>
        </w:rPr>
        <w:t>制造业等行业</w:t>
      </w:r>
      <w:r>
        <w:rPr>
          <w:rFonts w:hint="eastAsia" w:asciiTheme="minorEastAsia" w:hAnsiTheme="minorEastAsia" w:eastAsiaTheme="minorEastAsia" w:cstheme="minorEastAsia"/>
          <w:b/>
          <w:bCs/>
          <w:szCs w:val="28"/>
          <w:lang w:val="en-US" w:eastAsia="zh-CN"/>
        </w:rPr>
        <w:t>增值税留抵退税政策</w:t>
      </w:r>
      <w:r>
        <w:rPr>
          <w:b/>
          <w:bCs/>
        </w:rPr>
        <w:tab/>
      </w:r>
      <w:r>
        <w:rPr>
          <w:b/>
          <w:bCs/>
        </w:rPr>
        <w:fldChar w:fldCharType="begin"/>
      </w:r>
      <w:r>
        <w:rPr>
          <w:b/>
          <w:bCs/>
        </w:rPr>
        <w:instrText xml:space="preserve"> PAGEREF _Toc24161 \h </w:instrText>
      </w:r>
      <w:r>
        <w:rPr>
          <w:b/>
          <w:bCs/>
        </w:rPr>
        <w:fldChar w:fldCharType="separate"/>
      </w:r>
      <w:r>
        <w:rPr>
          <w:b/>
          <w:bCs/>
        </w:rPr>
        <w:t>6</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_Toc17563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（三）</w:t>
      </w:r>
      <w:r>
        <w:rPr>
          <w:rFonts w:hint="eastAsia" w:asciiTheme="minorEastAsia" w:hAnsiTheme="minorEastAsia" w:eastAsiaTheme="minorEastAsia" w:cstheme="minorEastAsia"/>
          <w:b/>
          <w:bCs/>
          <w:szCs w:val="28"/>
          <w:lang w:val="en-US"/>
        </w:rPr>
        <w:t>中小微企业设备器具所得税税前扣除</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_Toc17563 \h </w:instrText>
      </w:r>
      <w:r>
        <w:rPr>
          <w:b/>
          <w:bCs/>
        </w:rPr>
        <w:fldChar w:fldCharType="separate"/>
      </w:r>
      <w:r>
        <w:rPr>
          <w:b/>
          <w:bCs/>
        </w:rPr>
        <w:t>9</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_Toc3963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（四）</w:t>
      </w:r>
      <w:r>
        <w:rPr>
          <w:rFonts w:hint="eastAsia" w:asciiTheme="minorEastAsia" w:hAnsiTheme="minorEastAsia" w:eastAsiaTheme="minorEastAsia" w:cstheme="minorEastAsia"/>
          <w:b/>
          <w:bCs/>
          <w:szCs w:val="28"/>
          <w:lang w:val="en-US"/>
        </w:rPr>
        <w:t>航空和铁路运输企业分支机构暂停预缴增值税</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_Toc3963 \h </w:instrText>
      </w:r>
      <w:r>
        <w:rPr>
          <w:b/>
          <w:bCs/>
        </w:rPr>
        <w:fldChar w:fldCharType="separate"/>
      </w:r>
      <w:r>
        <w:rPr>
          <w:b/>
          <w:bCs/>
        </w:rPr>
        <w:t>10</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_Toc10847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（五）</w:t>
      </w:r>
      <w:r>
        <w:rPr>
          <w:rFonts w:hint="eastAsia" w:asciiTheme="minorEastAsia" w:hAnsiTheme="minorEastAsia" w:eastAsiaTheme="minorEastAsia" w:cstheme="minorEastAsia"/>
          <w:b/>
          <w:bCs/>
          <w:szCs w:val="28"/>
          <w:lang w:val="en-US"/>
        </w:rPr>
        <w:t>公共交通运输服务收入免征增值税</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_Toc10847 \h </w:instrText>
      </w:r>
      <w:r>
        <w:rPr>
          <w:b/>
          <w:bCs/>
        </w:rPr>
        <w:fldChar w:fldCharType="separate"/>
      </w:r>
      <w:r>
        <w:rPr>
          <w:b/>
          <w:bCs/>
        </w:rPr>
        <w:t>11</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_Toc19101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（六）</w:t>
      </w:r>
      <w:r>
        <w:rPr>
          <w:rFonts w:hint="eastAsia" w:asciiTheme="minorEastAsia" w:hAnsiTheme="minorEastAsia" w:eastAsiaTheme="minorEastAsia" w:cstheme="minorEastAsia"/>
          <w:b/>
          <w:bCs/>
          <w:szCs w:val="28"/>
          <w:lang w:val="en-US"/>
        </w:rPr>
        <w:t>3岁以下婴幼儿照护个人所得税专项附加扣除</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_Toc19101 \h </w:instrText>
      </w:r>
      <w:r>
        <w:rPr>
          <w:b/>
          <w:bCs/>
        </w:rPr>
        <w:fldChar w:fldCharType="separate"/>
      </w:r>
      <w:r>
        <w:rPr>
          <w:b/>
          <w:bCs/>
        </w:rPr>
        <w:t>12</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_Toc11478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（七）</w:t>
      </w:r>
      <w:r>
        <w:rPr>
          <w:rFonts w:hint="eastAsia" w:asciiTheme="minorEastAsia" w:hAnsiTheme="minorEastAsia" w:eastAsiaTheme="minorEastAsia" w:cstheme="minorEastAsia"/>
          <w:b/>
          <w:bCs/>
          <w:szCs w:val="28"/>
          <w:lang w:val="en-US"/>
        </w:rPr>
        <w:t>增值税小规模纳税人免征增值税</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_Toc11478 \h </w:instrText>
      </w:r>
      <w:r>
        <w:rPr>
          <w:b/>
          <w:bCs/>
        </w:rPr>
        <w:fldChar w:fldCharType="separate"/>
      </w:r>
      <w:r>
        <w:rPr>
          <w:b/>
          <w:bCs/>
        </w:rPr>
        <w:t>12</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_Toc15424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（八）</w:t>
      </w:r>
      <w:r>
        <w:rPr>
          <w:rFonts w:hint="eastAsia" w:asciiTheme="minorEastAsia" w:hAnsiTheme="minorEastAsia" w:eastAsiaTheme="minorEastAsia" w:cstheme="minorEastAsia"/>
          <w:b/>
          <w:bCs/>
          <w:szCs w:val="28"/>
          <w:lang w:val="en-US"/>
        </w:rPr>
        <w:t>科技型中小企业研发费用加计扣除</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_Toc15424 \h </w:instrText>
      </w:r>
      <w:r>
        <w:rPr>
          <w:b/>
          <w:bCs/>
        </w:rPr>
        <w:fldChar w:fldCharType="separate"/>
      </w:r>
      <w:r>
        <w:rPr>
          <w:b/>
          <w:bCs/>
        </w:rPr>
        <w:t>13</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_Toc12013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（九）小微企业</w:t>
      </w:r>
      <w:r>
        <w:rPr>
          <w:rFonts w:hint="eastAsia" w:asciiTheme="minorEastAsia" w:hAnsiTheme="minorEastAsia" w:eastAsiaTheme="minorEastAsia" w:cstheme="minorEastAsia"/>
          <w:b/>
          <w:bCs/>
          <w:szCs w:val="28"/>
          <w:lang w:val="en-US"/>
        </w:rPr>
        <w:t>“六税两费”减免</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_Toc12013 \h </w:instrText>
      </w:r>
      <w:r>
        <w:rPr>
          <w:b/>
          <w:bCs/>
        </w:rPr>
        <w:fldChar w:fldCharType="separate"/>
      </w:r>
      <w:r>
        <w:rPr>
          <w:b/>
          <w:bCs/>
        </w:rPr>
        <w:t>14</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_Toc27287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（十）小型微利企业减免企业所得税政策</w:t>
      </w:r>
      <w:r>
        <w:rPr>
          <w:b/>
          <w:bCs/>
        </w:rPr>
        <w:tab/>
      </w:r>
      <w:r>
        <w:rPr>
          <w:b/>
          <w:bCs/>
        </w:rPr>
        <w:fldChar w:fldCharType="begin"/>
      </w:r>
      <w:r>
        <w:rPr>
          <w:b/>
          <w:bCs/>
        </w:rPr>
        <w:instrText xml:space="preserve"> PAGEREF _Toc27287 \h </w:instrText>
      </w:r>
      <w:r>
        <w:rPr>
          <w:b/>
          <w:bCs/>
        </w:rPr>
        <w:fldChar w:fldCharType="separate"/>
      </w:r>
      <w:r>
        <w:rPr>
          <w:b/>
          <w:bCs/>
        </w:rPr>
        <w:t>15</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_Toc22842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（十一）制造业</w:t>
      </w:r>
      <w:r>
        <w:rPr>
          <w:rFonts w:hint="eastAsia" w:asciiTheme="minorEastAsia" w:hAnsiTheme="minorEastAsia" w:eastAsiaTheme="minorEastAsia" w:cstheme="minorEastAsia"/>
          <w:b/>
          <w:bCs/>
          <w:szCs w:val="28"/>
          <w:lang w:val="en-US"/>
        </w:rPr>
        <w:t>中小微企业延缓缴纳部分税费</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_Toc22842 \h </w:instrText>
      </w:r>
      <w:r>
        <w:rPr>
          <w:b/>
          <w:bCs/>
        </w:rPr>
        <w:fldChar w:fldCharType="separate"/>
      </w:r>
      <w:r>
        <w:rPr>
          <w:b/>
          <w:bCs/>
        </w:rPr>
        <w:t>16</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_Toc21083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（十二）帮扶服务业小微企业和个体工商户纾困发展房产税和城镇土地使用税政策</w:t>
      </w:r>
      <w:r>
        <w:rPr>
          <w:b/>
          <w:bCs/>
        </w:rPr>
        <w:tab/>
      </w:r>
      <w:r>
        <w:rPr>
          <w:b/>
          <w:bCs/>
        </w:rPr>
        <w:fldChar w:fldCharType="begin"/>
      </w:r>
      <w:r>
        <w:rPr>
          <w:b/>
          <w:bCs/>
        </w:rPr>
        <w:instrText xml:space="preserve"> PAGEREF _Toc21083 \h </w:instrText>
      </w:r>
      <w:r>
        <w:rPr>
          <w:b/>
          <w:bCs/>
        </w:rPr>
        <w:fldChar w:fldCharType="separate"/>
      </w:r>
      <w:r>
        <w:rPr>
          <w:b/>
          <w:bCs/>
        </w:rPr>
        <w:t>18</w:t>
      </w:r>
      <w:r>
        <w:rPr>
          <w:b/>
          <w:bCs/>
        </w:rPr>
        <w:fldChar w:fldCharType="end"/>
      </w:r>
      <w:r>
        <w:rPr>
          <w:rFonts w:hint="eastAsia" w:ascii="宋体" w:hAnsi="宋体" w:eastAsia="宋体" w:cs="宋体"/>
          <w:b/>
          <w:bCs/>
          <w:color w:val="auto"/>
          <w:szCs w:val="30"/>
        </w:rPr>
        <w:fldChar w:fldCharType="end"/>
      </w:r>
    </w:p>
    <w:p>
      <w:pPr>
        <w:pStyle w:val="12"/>
        <w:tabs>
          <w:tab w:val="right" w:leader="dot" w:pos="9130"/>
        </w:tabs>
      </w:pPr>
      <w:r>
        <w:rPr>
          <w:rFonts w:hint="eastAsia" w:ascii="宋体" w:hAnsi="宋体" w:eastAsia="宋体" w:cs="宋体"/>
          <w:bCs w:val="0"/>
          <w:color w:val="auto"/>
          <w:szCs w:val="30"/>
        </w:rPr>
        <w:fldChar w:fldCharType="begin"/>
      </w:r>
      <w:r>
        <w:rPr>
          <w:rFonts w:hint="eastAsia" w:ascii="宋体" w:hAnsi="宋体" w:eastAsia="宋体" w:cs="宋体"/>
          <w:bCs w:val="0"/>
          <w:szCs w:val="30"/>
        </w:rPr>
        <w:instrText xml:space="preserve"> HYPERLINK \l _Toc23048 </w:instrText>
      </w:r>
      <w:r>
        <w:rPr>
          <w:rFonts w:hint="eastAsia" w:ascii="宋体" w:hAnsi="宋体" w:eastAsia="宋体" w:cs="宋体"/>
          <w:bCs w:val="0"/>
          <w:szCs w:val="30"/>
        </w:rPr>
        <w:fldChar w:fldCharType="separate"/>
      </w:r>
      <w:r>
        <w:rPr>
          <w:rFonts w:hint="eastAsia" w:ascii="黑体" w:eastAsia="黑体"/>
          <w:bCs/>
          <w:szCs w:val="32"/>
          <w:lang w:val="en-US" w:eastAsia="zh-CN"/>
        </w:rPr>
        <w:t>二、延续实施的税费支持政策</w:t>
      </w:r>
      <w:r>
        <w:tab/>
      </w:r>
      <w:r>
        <w:fldChar w:fldCharType="begin"/>
      </w:r>
      <w:r>
        <w:instrText xml:space="preserve"> PAGEREF _Toc23048 \h </w:instrText>
      </w:r>
      <w:r>
        <w:fldChar w:fldCharType="separate"/>
      </w:r>
      <w:r>
        <w:t>19</w:t>
      </w:r>
      <w:r>
        <w:fldChar w:fldCharType="end"/>
      </w:r>
      <w:r>
        <w:rPr>
          <w:rFonts w:hint="eastAsia" w:ascii="宋体" w:hAnsi="宋体" w:eastAsia="宋体" w:cs="宋体"/>
          <w:bCs w:val="0"/>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_Toc25411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（十三）重点群体创业税费扣减政策</w:t>
      </w:r>
      <w:r>
        <w:rPr>
          <w:b/>
          <w:bCs/>
        </w:rPr>
        <w:tab/>
      </w:r>
      <w:r>
        <w:rPr>
          <w:b/>
          <w:bCs/>
        </w:rPr>
        <w:fldChar w:fldCharType="begin"/>
      </w:r>
      <w:r>
        <w:rPr>
          <w:b/>
          <w:bCs/>
        </w:rPr>
        <w:instrText xml:space="preserve"> PAGEREF _Toc25411 \h </w:instrText>
      </w:r>
      <w:r>
        <w:rPr>
          <w:b/>
          <w:bCs/>
        </w:rPr>
        <w:fldChar w:fldCharType="separate"/>
      </w:r>
      <w:r>
        <w:rPr>
          <w:b/>
          <w:bCs/>
        </w:rPr>
        <w:t>19</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_Toc14976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eastAsia="zh-CN"/>
        </w:rPr>
        <w:t>（十四）</w:t>
      </w:r>
      <w:r>
        <w:rPr>
          <w:rFonts w:hint="eastAsia" w:asciiTheme="minorEastAsia" w:hAnsiTheme="minorEastAsia" w:eastAsiaTheme="minorEastAsia" w:cstheme="minorEastAsia"/>
          <w:b/>
          <w:bCs/>
          <w:szCs w:val="28"/>
          <w:lang w:val="en-US"/>
        </w:rPr>
        <w:t>吸纳重点群体就业税费扣减</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_Toc14976 \h </w:instrText>
      </w:r>
      <w:r>
        <w:rPr>
          <w:b/>
          <w:bCs/>
        </w:rPr>
        <w:fldChar w:fldCharType="separate"/>
      </w:r>
      <w:r>
        <w:rPr>
          <w:b/>
          <w:bCs/>
        </w:rPr>
        <w:t>20</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_Toc8435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（十五）</w:t>
      </w:r>
      <w:r>
        <w:rPr>
          <w:rFonts w:hint="eastAsia" w:asciiTheme="minorEastAsia" w:hAnsiTheme="minorEastAsia" w:eastAsiaTheme="minorEastAsia" w:cstheme="minorEastAsia"/>
          <w:b/>
          <w:bCs/>
          <w:szCs w:val="28"/>
          <w:lang w:val="en-US"/>
        </w:rPr>
        <w:t>企业扶贫捐赠所得税税前扣除</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_Toc8435 \h </w:instrText>
      </w:r>
      <w:r>
        <w:rPr>
          <w:b/>
          <w:bCs/>
        </w:rPr>
        <w:fldChar w:fldCharType="separate"/>
      </w:r>
      <w:r>
        <w:rPr>
          <w:b/>
          <w:bCs/>
        </w:rPr>
        <w:t>22</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_Toc6729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（十六）</w:t>
      </w:r>
      <w:r>
        <w:rPr>
          <w:rFonts w:hint="eastAsia" w:asciiTheme="minorEastAsia" w:hAnsiTheme="minorEastAsia" w:eastAsiaTheme="minorEastAsia" w:cstheme="minorEastAsia"/>
          <w:b/>
          <w:bCs/>
          <w:szCs w:val="28"/>
          <w:lang w:val="en-US"/>
        </w:rPr>
        <w:t>扶贫货物捐赠免征增值税</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_Toc6729 \h </w:instrText>
      </w:r>
      <w:r>
        <w:rPr>
          <w:b/>
          <w:bCs/>
        </w:rPr>
        <w:fldChar w:fldCharType="separate"/>
      </w:r>
      <w:r>
        <w:rPr>
          <w:b/>
          <w:bCs/>
        </w:rPr>
        <w:t>23</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_Toc5285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（十七）</w:t>
      </w:r>
      <w:r>
        <w:rPr>
          <w:rFonts w:hint="eastAsia" w:asciiTheme="minorEastAsia" w:hAnsiTheme="minorEastAsia" w:eastAsiaTheme="minorEastAsia" w:cstheme="minorEastAsia"/>
          <w:b/>
          <w:bCs/>
          <w:szCs w:val="28"/>
          <w:lang w:val="en-US"/>
        </w:rPr>
        <w:t>自主就业退役士兵创业税费扣减</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_Toc5285 \h </w:instrText>
      </w:r>
      <w:r>
        <w:rPr>
          <w:b/>
          <w:bCs/>
        </w:rPr>
        <w:fldChar w:fldCharType="separate"/>
      </w:r>
      <w:r>
        <w:rPr>
          <w:b/>
          <w:bCs/>
        </w:rPr>
        <w:t>24</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_Toc27941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（十八）</w:t>
      </w:r>
      <w:r>
        <w:rPr>
          <w:rFonts w:hint="eastAsia" w:asciiTheme="minorEastAsia" w:hAnsiTheme="minorEastAsia" w:eastAsiaTheme="minorEastAsia" w:cstheme="minorEastAsia"/>
          <w:b/>
          <w:bCs/>
          <w:szCs w:val="28"/>
          <w:lang w:val="en-US"/>
        </w:rPr>
        <w:t>吸纳退役士兵就业税费扣减</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_Toc27941 \h </w:instrText>
      </w:r>
      <w:r>
        <w:rPr>
          <w:b/>
          <w:bCs/>
        </w:rPr>
        <w:fldChar w:fldCharType="separate"/>
      </w:r>
      <w:r>
        <w:rPr>
          <w:b/>
          <w:bCs/>
        </w:rPr>
        <w:t>25</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_Toc23773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（十九）</w:t>
      </w:r>
      <w:r>
        <w:rPr>
          <w:rFonts w:hint="eastAsia" w:asciiTheme="minorEastAsia" w:hAnsiTheme="minorEastAsia" w:eastAsiaTheme="minorEastAsia" w:cstheme="minorEastAsia"/>
          <w:b/>
          <w:bCs/>
          <w:szCs w:val="28"/>
          <w:lang w:val="en-US"/>
        </w:rPr>
        <w:t>科技企业孵化器</w:t>
      </w:r>
      <w:r>
        <w:rPr>
          <w:rFonts w:hint="eastAsia" w:asciiTheme="minorEastAsia" w:hAnsiTheme="minorEastAsia" w:eastAsiaTheme="minorEastAsia" w:cstheme="minorEastAsia"/>
          <w:b/>
          <w:bCs/>
          <w:szCs w:val="28"/>
          <w:lang w:val="en-US" w:eastAsia="zh-CN"/>
        </w:rPr>
        <w:t>等</w:t>
      </w:r>
      <w:r>
        <w:rPr>
          <w:rFonts w:hint="eastAsia" w:asciiTheme="minorEastAsia" w:hAnsiTheme="minorEastAsia" w:eastAsiaTheme="minorEastAsia" w:cstheme="minorEastAsia"/>
          <w:b/>
          <w:bCs/>
          <w:szCs w:val="28"/>
          <w:lang w:val="en-US"/>
        </w:rPr>
        <w:t>免征</w:t>
      </w:r>
      <w:r>
        <w:rPr>
          <w:rFonts w:hint="eastAsia" w:asciiTheme="minorEastAsia" w:hAnsiTheme="minorEastAsia" w:eastAsiaTheme="minorEastAsia" w:cstheme="minorEastAsia"/>
          <w:b/>
          <w:bCs/>
          <w:szCs w:val="28"/>
          <w:lang w:val="en-US" w:eastAsia="zh-CN"/>
        </w:rPr>
        <w:t>房产税、城镇土地使用税和</w:t>
      </w:r>
      <w:r>
        <w:rPr>
          <w:rFonts w:hint="eastAsia" w:asciiTheme="minorEastAsia" w:hAnsiTheme="minorEastAsia" w:eastAsiaTheme="minorEastAsia" w:cstheme="minorEastAsia"/>
          <w:b/>
          <w:bCs/>
          <w:szCs w:val="28"/>
          <w:lang w:val="en-US"/>
        </w:rPr>
        <w:t>增值税</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_Toc23773 \h </w:instrText>
      </w:r>
      <w:r>
        <w:rPr>
          <w:b/>
          <w:bCs/>
        </w:rPr>
        <w:fldChar w:fldCharType="separate"/>
      </w:r>
      <w:r>
        <w:rPr>
          <w:b/>
          <w:bCs/>
        </w:rPr>
        <w:t>27</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_Toc29249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（二十）</w:t>
      </w:r>
      <w:r>
        <w:rPr>
          <w:rFonts w:hint="eastAsia" w:asciiTheme="minorEastAsia" w:hAnsiTheme="minorEastAsia" w:eastAsiaTheme="minorEastAsia" w:cstheme="minorEastAsia"/>
          <w:b/>
          <w:bCs/>
          <w:szCs w:val="28"/>
          <w:lang w:val="en-US"/>
        </w:rPr>
        <w:t>高校学生公寓免征房产税</w:t>
      </w:r>
      <w:r>
        <w:rPr>
          <w:rFonts w:hint="eastAsia" w:asciiTheme="minorEastAsia" w:hAnsiTheme="minorEastAsia" w:eastAsiaTheme="minorEastAsia" w:cstheme="minorEastAsia"/>
          <w:b/>
          <w:bCs/>
          <w:szCs w:val="28"/>
          <w:lang w:val="en-US" w:eastAsia="zh-CN"/>
        </w:rPr>
        <w:t>、</w:t>
      </w:r>
      <w:r>
        <w:rPr>
          <w:rFonts w:hint="eastAsia" w:asciiTheme="minorEastAsia" w:hAnsiTheme="minorEastAsia" w:eastAsiaTheme="minorEastAsia" w:cstheme="minorEastAsia"/>
          <w:b/>
          <w:bCs/>
          <w:szCs w:val="28"/>
          <w:lang w:val="en-US"/>
        </w:rPr>
        <w:t>印花税</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_Toc29249 \h </w:instrText>
      </w:r>
      <w:r>
        <w:rPr>
          <w:b/>
          <w:bCs/>
        </w:rPr>
        <w:fldChar w:fldCharType="separate"/>
      </w:r>
      <w:r>
        <w:rPr>
          <w:b/>
          <w:bCs/>
        </w:rPr>
        <w:t>28</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_Toc21468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（二十一）</w:t>
      </w:r>
      <w:r>
        <w:rPr>
          <w:rFonts w:hint="eastAsia" w:asciiTheme="minorEastAsia" w:hAnsiTheme="minorEastAsia" w:eastAsiaTheme="minorEastAsia" w:cstheme="minorEastAsia"/>
          <w:b/>
          <w:bCs/>
          <w:szCs w:val="28"/>
          <w:lang w:val="en-US"/>
        </w:rPr>
        <w:t>城市公交站场等运营用地免征城镇土地使用税</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_Toc21468 \h </w:instrText>
      </w:r>
      <w:r>
        <w:rPr>
          <w:b/>
          <w:bCs/>
        </w:rPr>
        <w:fldChar w:fldCharType="separate"/>
      </w:r>
      <w:r>
        <w:rPr>
          <w:b/>
          <w:bCs/>
        </w:rPr>
        <w:t>29</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_Toc7010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（二十二）</w:t>
      </w:r>
      <w:r>
        <w:rPr>
          <w:rFonts w:hint="eastAsia" w:asciiTheme="minorEastAsia" w:hAnsiTheme="minorEastAsia" w:eastAsiaTheme="minorEastAsia" w:cstheme="minorEastAsia"/>
          <w:b/>
          <w:bCs/>
          <w:szCs w:val="28"/>
          <w:lang w:val="en-US"/>
        </w:rPr>
        <w:t>农产品批发市场、农贸市场免征</w:t>
      </w:r>
      <w:r>
        <w:rPr>
          <w:rFonts w:hint="eastAsia" w:asciiTheme="minorEastAsia" w:hAnsiTheme="minorEastAsia" w:eastAsiaTheme="minorEastAsia" w:cstheme="minorEastAsia"/>
          <w:b/>
          <w:bCs/>
          <w:szCs w:val="28"/>
          <w:lang w:val="en-US" w:eastAsia="zh-CN"/>
        </w:rPr>
        <w:t>房产税、城镇土地使用税</w:t>
      </w:r>
      <w:r>
        <w:rPr>
          <w:b/>
          <w:bCs/>
        </w:rPr>
        <w:tab/>
      </w:r>
      <w:r>
        <w:rPr>
          <w:b/>
          <w:bCs/>
        </w:rPr>
        <w:fldChar w:fldCharType="begin"/>
      </w:r>
      <w:r>
        <w:rPr>
          <w:b/>
          <w:bCs/>
        </w:rPr>
        <w:instrText xml:space="preserve"> PAGEREF _Toc7010 \h </w:instrText>
      </w:r>
      <w:r>
        <w:rPr>
          <w:b/>
          <w:bCs/>
        </w:rPr>
        <w:fldChar w:fldCharType="separate"/>
      </w:r>
      <w:r>
        <w:rPr>
          <w:b/>
          <w:bCs/>
        </w:rPr>
        <w:t>30</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_Toc19135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（二十三）</w:t>
      </w:r>
      <w:r>
        <w:rPr>
          <w:rFonts w:hint="eastAsia" w:asciiTheme="minorEastAsia" w:hAnsiTheme="minorEastAsia" w:eastAsiaTheme="minorEastAsia" w:cstheme="minorEastAsia"/>
          <w:b/>
          <w:bCs/>
          <w:szCs w:val="28"/>
          <w:lang w:val="en-US"/>
        </w:rPr>
        <w:t>从事污染防治的第三方企业减</w:t>
      </w:r>
      <w:r>
        <w:rPr>
          <w:rFonts w:hint="eastAsia" w:asciiTheme="minorEastAsia" w:hAnsiTheme="minorEastAsia" w:eastAsiaTheme="minorEastAsia" w:cstheme="minorEastAsia"/>
          <w:b/>
          <w:bCs/>
          <w:szCs w:val="28"/>
          <w:lang w:val="en-US" w:eastAsia="zh-CN"/>
        </w:rPr>
        <w:t>免</w:t>
      </w:r>
      <w:r>
        <w:rPr>
          <w:rFonts w:hint="eastAsia" w:asciiTheme="minorEastAsia" w:hAnsiTheme="minorEastAsia" w:eastAsiaTheme="minorEastAsia" w:cstheme="minorEastAsia"/>
          <w:b/>
          <w:bCs/>
          <w:szCs w:val="28"/>
          <w:lang w:val="en-US"/>
        </w:rPr>
        <w:t>企业所得税</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_Toc19135 \h </w:instrText>
      </w:r>
      <w:r>
        <w:rPr>
          <w:b/>
          <w:bCs/>
        </w:rPr>
        <w:fldChar w:fldCharType="separate"/>
      </w:r>
      <w:r>
        <w:rPr>
          <w:b/>
          <w:bCs/>
        </w:rPr>
        <w:t>32</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_Toc2574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（二十四）支持疫情防护救治等</w:t>
      </w:r>
      <w:r>
        <w:rPr>
          <w:rFonts w:hint="eastAsia" w:asciiTheme="minorEastAsia" w:hAnsiTheme="minorEastAsia" w:eastAsiaTheme="minorEastAsia" w:cstheme="minorEastAsia"/>
          <w:b/>
          <w:bCs/>
          <w:szCs w:val="28"/>
          <w:lang w:val="en-US"/>
        </w:rPr>
        <w:t>免征个人所得税</w:t>
      </w:r>
      <w:r>
        <w:rPr>
          <w:rFonts w:hint="eastAsia" w:asciiTheme="minorEastAsia" w:hAnsiTheme="minorEastAsia" w:eastAsiaTheme="minorEastAsia" w:cstheme="minorEastAsia"/>
          <w:b/>
          <w:bCs/>
          <w:szCs w:val="28"/>
          <w:lang w:val="en-US" w:eastAsia="zh-CN"/>
        </w:rPr>
        <w:t>政策</w:t>
      </w:r>
      <w:r>
        <w:rPr>
          <w:b/>
          <w:bCs/>
        </w:rPr>
        <w:tab/>
      </w:r>
      <w:r>
        <w:rPr>
          <w:b/>
          <w:bCs/>
        </w:rPr>
        <w:fldChar w:fldCharType="begin"/>
      </w:r>
      <w:r>
        <w:rPr>
          <w:b/>
          <w:bCs/>
        </w:rPr>
        <w:instrText xml:space="preserve"> PAGEREF _Toc2574 \h </w:instrText>
      </w:r>
      <w:r>
        <w:rPr>
          <w:b/>
          <w:bCs/>
        </w:rPr>
        <w:fldChar w:fldCharType="separate"/>
      </w:r>
      <w:r>
        <w:rPr>
          <w:b/>
          <w:bCs/>
        </w:rPr>
        <w:t>33</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_Toc1632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（二十五）</w:t>
      </w:r>
      <w:r>
        <w:rPr>
          <w:rFonts w:hint="eastAsia" w:asciiTheme="minorEastAsia" w:hAnsiTheme="minorEastAsia" w:eastAsiaTheme="minorEastAsia" w:cstheme="minorEastAsia"/>
          <w:b/>
          <w:bCs/>
          <w:szCs w:val="28"/>
          <w:lang w:val="en-US"/>
        </w:rPr>
        <w:t>商品储备</w:t>
      </w:r>
      <w:r>
        <w:rPr>
          <w:rFonts w:hint="eastAsia" w:asciiTheme="minorEastAsia" w:hAnsiTheme="minorEastAsia" w:eastAsiaTheme="minorEastAsia" w:cstheme="minorEastAsia"/>
          <w:b/>
          <w:bCs/>
          <w:szCs w:val="28"/>
          <w:lang w:val="en-US" w:eastAsia="zh-CN"/>
        </w:rPr>
        <w:t>免征印花税和房产税、城镇土地使用税政策</w:t>
      </w:r>
      <w:r>
        <w:rPr>
          <w:b/>
          <w:bCs/>
        </w:rPr>
        <w:tab/>
      </w:r>
      <w:r>
        <w:rPr>
          <w:b/>
          <w:bCs/>
        </w:rPr>
        <w:fldChar w:fldCharType="begin"/>
      </w:r>
      <w:r>
        <w:rPr>
          <w:b/>
          <w:bCs/>
        </w:rPr>
        <w:instrText xml:space="preserve"> PAGEREF _Toc1632 \h </w:instrText>
      </w:r>
      <w:r>
        <w:rPr>
          <w:b/>
          <w:bCs/>
        </w:rPr>
        <w:fldChar w:fldCharType="separate"/>
      </w:r>
      <w:r>
        <w:rPr>
          <w:b/>
          <w:bCs/>
        </w:rPr>
        <w:t>34</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_Toc15198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（二十六）制造业中小微企业</w:t>
      </w:r>
      <w:r>
        <w:rPr>
          <w:rFonts w:hint="eastAsia" w:asciiTheme="minorEastAsia" w:hAnsiTheme="minorEastAsia" w:eastAsiaTheme="minorEastAsia" w:cstheme="minorEastAsia"/>
          <w:b/>
          <w:bCs/>
          <w:szCs w:val="28"/>
          <w:lang w:val="en-US"/>
        </w:rPr>
        <w:t>继续延缓缴纳2021年第四季度部分税费</w:t>
      </w:r>
      <w:r>
        <w:rPr>
          <w:b/>
          <w:bCs/>
        </w:rPr>
        <w:tab/>
      </w:r>
      <w:r>
        <w:rPr>
          <w:b/>
          <w:bCs/>
        </w:rPr>
        <w:fldChar w:fldCharType="begin"/>
      </w:r>
      <w:r>
        <w:rPr>
          <w:b/>
          <w:bCs/>
        </w:rPr>
        <w:instrText xml:space="preserve"> PAGEREF _Toc15198 \h </w:instrText>
      </w:r>
      <w:r>
        <w:rPr>
          <w:b/>
          <w:bCs/>
        </w:rPr>
        <w:fldChar w:fldCharType="separate"/>
      </w:r>
      <w:r>
        <w:rPr>
          <w:b/>
          <w:bCs/>
        </w:rPr>
        <w:t>35</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_Toc21621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（二十七）</w:t>
      </w:r>
      <w:r>
        <w:rPr>
          <w:rFonts w:hint="eastAsia" w:asciiTheme="minorEastAsia" w:hAnsiTheme="minorEastAsia" w:eastAsiaTheme="minorEastAsia" w:cstheme="minorEastAsia"/>
          <w:b/>
          <w:bCs/>
          <w:szCs w:val="28"/>
          <w:lang w:val="en-US"/>
        </w:rPr>
        <w:t>生产、生活性服务业增值税加计抵减政策</w:t>
      </w:r>
      <w:r>
        <w:rPr>
          <w:b/>
          <w:bCs/>
        </w:rPr>
        <w:tab/>
      </w:r>
      <w:r>
        <w:rPr>
          <w:b/>
          <w:bCs/>
        </w:rPr>
        <w:fldChar w:fldCharType="begin"/>
      </w:r>
      <w:r>
        <w:rPr>
          <w:b/>
          <w:bCs/>
        </w:rPr>
        <w:instrText xml:space="preserve"> PAGEREF _Toc21621 \h </w:instrText>
      </w:r>
      <w:r>
        <w:rPr>
          <w:b/>
          <w:bCs/>
        </w:rPr>
        <w:fldChar w:fldCharType="separate"/>
      </w:r>
      <w:r>
        <w:rPr>
          <w:b/>
          <w:bCs/>
        </w:rPr>
        <w:t>36</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_Toc32555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（二十八）</w:t>
      </w:r>
      <w:r>
        <w:rPr>
          <w:rFonts w:hint="eastAsia" w:asciiTheme="minorEastAsia" w:hAnsiTheme="minorEastAsia" w:eastAsiaTheme="minorEastAsia" w:cstheme="minorEastAsia"/>
          <w:b/>
          <w:bCs/>
          <w:szCs w:val="28"/>
          <w:lang w:val="en-US"/>
        </w:rPr>
        <w:t>创</w:t>
      </w:r>
      <w:r>
        <w:rPr>
          <w:rFonts w:hint="eastAsia" w:asciiTheme="minorEastAsia" w:hAnsiTheme="minorEastAsia" w:eastAsiaTheme="minorEastAsia" w:cstheme="minorEastAsia"/>
          <w:b/>
          <w:bCs/>
          <w:szCs w:val="28"/>
          <w:lang w:val="en-US" w:eastAsia="zh-CN"/>
        </w:rPr>
        <w:t>业投资</w:t>
      </w:r>
      <w:r>
        <w:rPr>
          <w:rFonts w:hint="eastAsia" w:asciiTheme="minorEastAsia" w:hAnsiTheme="minorEastAsia" w:eastAsiaTheme="minorEastAsia" w:cstheme="minorEastAsia"/>
          <w:b/>
          <w:bCs/>
          <w:szCs w:val="28"/>
          <w:lang w:val="en-US"/>
        </w:rPr>
        <w:t>企业和天使投资个人</w:t>
      </w:r>
      <w:r>
        <w:rPr>
          <w:rFonts w:hint="eastAsia" w:asciiTheme="minorEastAsia" w:hAnsiTheme="minorEastAsia" w:eastAsiaTheme="minorEastAsia" w:cstheme="minorEastAsia"/>
          <w:b/>
          <w:bCs/>
          <w:szCs w:val="28"/>
          <w:lang w:val="en-US" w:eastAsia="zh-CN"/>
        </w:rPr>
        <w:t>有关税收优惠政策</w:t>
      </w:r>
      <w:r>
        <w:rPr>
          <w:b/>
          <w:bCs/>
        </w:rPr>
        <w:tab/>
      </w:r>
      <w:r>
        <w:rPr>
          <w:b/>
          <w:bCs/>
        </w:rPr>
        <w:fldChar w:fldCharType="begin"/>
      </w:r>
      <w:r>
        <w:rPr>
          <w:b/>
          <w:bCs/>
        </w:rPr>
        <w:instrText xml:space="preserve"> PAGEREF _Toc32555 \h </w:instrText>
      </w:r>
      <w:r>
        <w:rPr>
          <w:b/>
          <w:bCs/>
        </w:rPr>
        <w:fldChar w:fldCharType="separate"/>
      </w:r>
      <w:r>
        <w:rPr>
          <w:b/>
          <w:bCs/>
        </w:rPr>
        <w:t>38</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_Toc648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（二十九）</w:t>
      </w:r>
      <w:r>
        <w:rPr>
          <w:rFonts w:hint="eastAsia" w:asciiTheme="minorEastAsia" w:hAnsiTheme="minorEastAsia" w:eastAsiaTheme="minorEastAsia" w:cstheme="minorEastAsia"/>
          <w:b/>
          <w:bCs/>
          <w:i w:val="0"/>
          <w:iCs w:val="0"/>
          <w:caps w:val="0"/>
          <w:spacing w:val="0"/>
          <w:szCs w:val="28"/>
          <w:shd w:val="clear" w:color="auto" w:fill="FFFFFF"/>
        </w:rPr>
        <w:t>全年一次性奖金个人所得税优惠政策</w:t>
      </w:r>
      <w:r>
        <w:rPr>
          <w:b/>
          <w:bCs/>
        </w:rPr>
        <w:tab/>
      </w:r>
      <w:r>
        <w:rPr>
          <w:b/>
          <w:bCs/>
        </w:rPr>
        <w:fldChar w:fldCharType="begin"/>
      </w:r>
      <w:r>
        <w:rPr>
          <w:b/>
          <w:bCs/>
        </w:rPr>
        <w:instrText xml:space="preserve"> PAGEREF _Toc648 \h </w:instrText>
      </w:r>
      <w:r>
        <w:rPr>
          <w:b/>
          <w:bCs/>
        </w:rPr>
        <w:fldChar w:fldCharType="separate"/>
      </w:r>
      <w:r>
        <w:rPr>
          <w:b/>
          <w:bCs/>
        </w:rPr>
        <w:t>40</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rPr>
          <w:b/>
          <w:bCs/>
        </w:rPr>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_Toc32163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（三十）</w:t>
      </w:r>
      <w:r>
        <w:rPr>
          <w:rFonts w:hint="eastAsia" w:asciiTheme="minorEastAsia" w:hAnsiTheme="minorEastAsia" w:eastAsiaTheme="minorEastAsia" w:cstheme="minorEastAsia"/>
          <w:b/>
          <w:bCs/>
          <w:i w:val="0"/>
          <w:iCs w:val="0"/>
          <w:caps w:val="0"/>
          <w:spacing w:val="0"/>
          <w:szCs w:val="28"/>
          <w:shd w:val="clear" w:color="auto" w:fill="FFFFFF"/>
          <w:lang w:eastAsia="zh-CN"/>
        </w:rPr>
        <w:t>上市公司股权激励</w:t>
      </w:r>
      <w:r>
        <w:rPr>
          <w:rFonts w:hint="eastAsia" w:asciiTheme="minorEastAsia" w:hAnsiTheme="minorEastAsia" w:eastAsiaTheme="minorEastAsia" w:cstheme="minorEastAsia"/>
          <w:b/>
          <w:bCs/>
          <w:i w:val="0"/>
          <w:iCs w:val="0"/>
          <w:caps w:val="0"/>
          <w:spacing w:val="0"/>
          <w:szCs w:val="28"/>
          <w:shd w:val="clear" w:color="auto" w:fill="FFFFFF"/>
        </w:rPr>
        <w:t>个人所得税优惠政策</w:t>
      </w:r>
      <w:r>
        <w:rPr>
          <w:b/>
          <w:bCs/>
        </w:rPr>
        <w:tab/>
      </w:r>
      <w:r>
        <w:rPr>
          <w:b/>
          <w:bCs/>
        </w:rPr>
        <w:fldChar w:fldCharType="begin"/>
      </w:r>
      <w:r>
        <w:rPr>
          <w:b/>
          <w:bCs/>
        </w:rPr>
        <w:instrText xml:space="preserve"> PAGEREF _Toc32163 \h </w:instrText>
      </w:r>
      <w:r>
        <w:rPr>
          <w:b/>
          <w:bCs/>
        </w:rPr>
        <w:fldChar w:fldCharType="separate"/>
      </w:r>
      <w:r>
        <w:rPr>
          <w:b/>
          <w:bCs/>
        </w:rPr>
        <w:t>41</w:t>
      </w:r>
      <w:r>
        <w:rPr>
          <w:b/>
          <w:bCs/>
        </w:rPr>
        <w:fldChar w:fldCharType="end"/>
      </w:r>
      <w:r>
        <w:rPr>
          <w:rFonts w:hint="eastAsia" w:ascii="宋体" w:hAnsi="宋体" w:eastAsia="宋体" w:cs="宋体"/>
          <w:b/>
          <w:bCs/>
          <w:color w:val="auto"/>
          <w:szCs w:val="30"/>
        </w:rPr>
        <w:fldChar w:fldCharType="end"/>
      </w:r>
    </w:p>
    <w:p>
      <w:pPr>
        <w:pStyle w:val="13"/>
        <w:tabs>
          <w:tab w:val="right" w:leader="dot" w:pos="9130"/>
        </w:tabs>
      </w:pPr>
      <w:r>
        <w:rPr>
          <w:rFonts w:hint="eastAsia" w:ascii="宋体" w:hAnsi="宋体" w:eastAsia="宋体" w:cs="宋体"/>
          <w:b/>
          <w:bCs/>
          <w:color w:val="auto"/>
          <w:szCs w:val="30"/>
        </w:rPr>
        <w:fldChar w:fldCharType="begin"/>
      </w:r>
      <w:r>
        <w:rPr>
          <w:rFonts w:hint="eastAsia" w:ascii="宋体" w:hAnsi="宋体" w:eastAsia="宋体" w:cs="宋体"/>
          <w:b/>
          <w:bCs/>
          <w:szCs w:val="30"/>
        </w:rPr>
        <w:instrText xml:space="preserve"> HYPERLINK \l _Toc3507 </w:instrText>
      </w:r>
      <w:r>
        <w:rPr>
          <w:rFonts w:hint="eastAsia" w:ascii="宋体" w:hAnsi="宋体" w:eastAsia="宋体" w:cs="宋体"/>
          <w:b/>
          <w:bCs/>
          <w:szCs w:val="30"/>
        </w:rPr>
        <w:fldChar w:fldCharType="separate"/>
      </w:r>
      <w:r>
        <w:rPr>
          <w:rFonts w:hint="eastAsia" w:asciiTheme="minorEastAsia" w:hAnsiTheme="minorEastAsia" w:eastAsiaTheme="minorEastAsia" w:cstheme="minorEastAsia"/>
          <w:b/>
          <w:bCs/>
          <w:szCs w:val="28"/>
          <w:lang w:val="en-US" w:eastAsia="zh-CN"/>
        </w:rPr>
        <w:t>（三十一）</w:t>
      </w:r>
      <w:r>
        <w:rPr>
          <w:rFonts w:hint="eastAsia" w:asciiTheme="minorEastAsia" w:hAnsiTheme="minorEastAsia" w:eastAsiaTheme="minorEastAsia" w:cstheme="minorEastAsia"/>
          <w:b/>
          <w:bCs/>
          <w:i w:val="0"/>
          <w:iCs w:val="0"/>
          <w:caps w:val="0"/>
          <w:spacing w:val="0"/>
          <w:szCs w:val="28"/>
          <w:shd w:val="clear" w:color="auto" w:fill="auto"/>
          <w:lang w:val="en-US"/>
        </w:rPr>
        <w:t>外籍个人津补贴个人所得税优惠政策</w:t>
      </w:r>
      <w:r>
        <w:rPr>
          <w:b/>
          <w:bCs/>
        </w:rPr>
        <w:tab/>
      </w:r>
      <w:r>
        <w:rPr>
          <w:b/>
          <w:bCs/>
        </w:rPr>
        <w:fldChar w:fldCharType="begin"/>
      </w:r>
      <w:r>
        <w:rPr>
          <w:b/>
          <w:bCs/>
        </w:rPr>
        <w:instrText xml:space="preserve"> PAGEREF _Toc3507 \h </w:instrText>
      </w:r>
      <w:r>
        <w:rPr>
          <w:b/>
          <w:bCs/>
        </w:rPr>
        <w:fldChar w:fldCharType="separate"/>
      </w:r>
      <w:r>
        <w:rPr>
          <w:b/>
          <w:bCs/>
        </w:rPr>
        <w:t>42</w:t>
      </w:r>
      <w:r>
        <w:rPr>
          <w:b/>
          <w:bCs/>
        </w:rPr>
        <w:fldChar w:fldCharType="end"/>
      </w:r>
      <w:r>
        <w:rPr>
          <w:rFonts w:hint="eastAsia" w:ascii="宋体" w:hAnsi="宋体" w:eastAsia="宋体" w:cs="宋体"/>
          <w:b/>
          <w:bCs/>
          <w:color w:val="auto"/>
          <w:szCs w:val="30"/>
        </w:rPr>
        <w:fldChar w:fldCharType="end"/>
      </w:r>
    </w:p>
    <w:p>
      <w:pPr>
        <w:keepNext w:val="0"/>
        <w:keepLines w:val="0"/>
        <w:pageBreakBefore w:val="0"/>
        <w:widowControl w:val="0"/>
        <w:kinsoku/>
        <w:wordWrap/>
        <w:overflowPunct/>
        <w:topLinePunct w:val="0"/>
        <w:autoSpaceDE w:val="0"/>
        <w:autoSpaceDN w:val="0"/>
        <w:bidi w:val="0"/>
        <w:adjustRightInd w:val="0"/>
        <w:snapToGrid w:val="0"/>
        <w:textAlignment w:val="auto"/>
        <w:rPr>
          <w:rFonts w:hint="default"/>
          <w:lang w:val="en-US" w:eastAsia="zh-CN"/>
        </w:rPr>
        <w:sectPr>
          <w:footerReference r:id="rId9" w:type="first"/>
          <w:footerReference r:id="rId8" w:type="default"/>
          <w:type w:val="continuous"/>
          <w:pgSz w:w="11910" w:h="16840"/>
          <w:pgMar w:top="1500" w:right="1500" w:bottom="1180" w:left="1280" w:header="0" w:footer="993" w:gutter="0"/>
          <w:pgNumType w:start="1"/>
          <w:cols w:space="720" w:num="1"/>
          <w:titlePg/>
          <w:docGrid w:linePitch="299" w:charSpace="0"/>
        </w:sectPr>
      </w:pPr>
      <w:r>
        <w:rPr>
          <w:rFonts w:hint="eastAsia" w:ascii="宋体" w:hAnsi="宋体" w:eastAsia="宋体" w:cs="宋体"/>
          <w:bCs w:val="0"/>
          <w:color w:val="auto"/>
          <w:szCs w:val="30"/>
        </w:rPr>
        <w:fldChar w:fldCharType="end"/>
      </w:r>
      <w:r>
        <w:rPr>
          <w:rFonts w:hint="eastAsia" w:cs="宋体"/>
          <w:b w:val="0"/>
          <w:bCs w:val="0"/>
          <w:color w:val="auto"/>
          <w:sz w:val="30"/>
          <w:szCs w:val="30"/>
          <w:lang w:val="en-US" w:eastAsia="zh-CN"/>
        </w:rPr>
        <w:t xml:space="preserve">    </w:t>
      </w:r>
    </w:p>
    <w:p>
      <w:pPr>
        <w:pStyle w:val="3"/>
        <w:keepNext w:val="0"/>
        <w:keepLines w:val="0"/>
        <w:pageBreakBefore w:val="0"/>
        <w:widowControl w:val="0"/>
        <w:numPr>
          <w:ilvl w:val="0"/>
          <w:numId w:val="0"/>
        </w:numPr>
        <w:kinsoku/>
        <w:wordWrap/>
        <w:overflowPunct/>
        <w:topLinePunct w:val="0"/>
        <w:bidi w:val="0"/>
        <w:adjustRightInd/>
        <w:snapToGrid/>
        <w:spacing w:line="600" w:lineRule="exact"/>
        <w:ind w:firstLine="642" w:firstLineChars="200"/>
        <w:jc w:val="both"/>
        <w:textAlignment w:val="auto"/>
        <w:rPr>
          <w:b/>
          <w:bCs/>
          <w:color w:val="92D050"/>
          <w:sz w:val="32"/>
          <w:szCs w:val="32"/>
          <w:lang w:val="en-US"/>
        </w:rPr>
      </w:pPr>
      <w:bookmarkStart w:id="44" w:name="_Toc15412"/>
      <w:bookmarkStart w:id="45" w:name="_Toc24492"/>
      <w:bookmarkStart w:id="46" w:name="_Toc99525455"/>
      <w:bookmarkStart w:id="47" w:name="_Toc99527785"/>
      <w:bookmarkStart w:id="48" w:name="_Toc1755900571"/>
      <w:bookmarkStart w:id="49" w:name="_Toc1653630454"/>
      <w:bookmarkStart w:id="50" w:name="_Toc99525922"/>
      <w:bookmarkStart w:id="51" w:name="_Toc99527559"/>
      <w:bookmarkStart w:id="52" w:name="_Toc1002730271"/>
      <w:bookmarkStart w:id="53" w:name="_Toc1849978390"/>
      <w:bookmarkStart w:id="54" w:name="_Toc29638"/>
      <w:r>
        <w:rPr>
          <w:rFonts w:hint="eastAsia" w:ascii="黑体" w:eastAsia="黑体"/>
          <w:b/>
          <w:bCs/>
          <w:color w:val="000000"/>
          <w:sz w:val="32"/>
          <w:szCs w:val="32"/>
          <w:lang w:val="en-US" w:eastAsia="zh-CN"/>
        </w:rPr>
        <w:t>一、新出台的税费支持</w:t>
      </w:r>
      <w:r>
        <w:rPr>
          <w:rFonts w:hint="eastAsia" w:ascii="黑体" w:eastAsia="黑体"/>
          <w:b/>
          <w:bCs/>
          <w:color w:val="000000"/>
          <w:sz w:val="32"/>
          <w:szCs w:val="32"/>
          <w:lang w:val="en-US"/>
        </w:rPr>
        <w:t>政策</w:t>
      </w:r>
      <w:bookmarkEnd w:id="44"/>
      <w:bookmarkEnd w:id="45"/>
      <w:bookmarkEnd w:id="46"/>
      <w:bookmarkEnd w:id="47"/>
      <w:bookmarkEnd w:id="48"/>
      <w:bookmarkEnd w:id="49"/>
      <w:bookmarkEnd w:id="50"/>
      <w:bookmarkEnd w:id="51"/>
      <w:bookmarkEnd w:id="52"/>
      <w:bookmarkEnd w:id="53"/>
    </w:p>
    <w:p>
      <w:pPr>
        <w:pStyle w:val="4"/>
        <w:keepNext w:val="0"/>
        <w:keepLines w:val="0"/>
        <w:pageBreakBefore w:val="0"/>
        <w:widowControl w:val="0"/>
        <w:tabs>
          <w:tab w:val="left" w:pos="484"/>
        </w:tabs>
        <w:kinsoku/>
        <w:wordWrap/>
        <w:overflowPunct/>
        <w:topLinePunct w:val="0"/>
        <w:bidi w:val="0"/>
        <w:adjustRightInd/>
        <w:snapToGrid/>
        <w:spacing w:line="600" w:lineRule="exact"/>
        <w:ind w:left="0" w:firstLine="562" w:firstLineChars="200"/>
        <w:jc w:val="both"/>
        <w:textAlignment w:val="auto"/>
        <w:rPr>
          <w:color w:val="000000"/>
          <w:sz w:val="28"/>
          <w:szCs w:val="28"/>
          <w:lang w:val="en-US"/>
        </w:rPr>
      </w:pPr>
      <w:bookmarkStart w:id="55" w:name="_Toc1093851113"/>
      <w:bookmarkStart w:id="56" w:name="_Toc27242"/>
      <w:bookmarkStart w:id="57" w:name="_Toc1324307038"/>
      <w:bookmarkStart w:id="58" w:name="_Toc1123297658"/>
      <w:bookmarkStart w:id="59" w:name="_Toc6558"/>
      <w:bookmarkStart w:id="60" w:name="_Toc1722260272"/>
      <w:r>
        <w:rPr>
          <w:rFonts w:hint="eastAsia"/>
          <w:color w:val="000000"/>
          <w:sz w:val="28"/>
          <w:szCs w:val="28"/>
          <w:lang w:val="en-US" w:eastAsia="zh-CN"/>
        </w:rPr>
        <w:t>（一）</w:t>
      </w:r>
      <w:r>
        <w:rPr>
          <w:rFonts w:hint="eastAsia"/>
          <w:color w:val="000000"/>
          <w:sz w:val="28"/>
          <w:szCs w:val="28"/>
          <w:lang w:val="en-US"/>
        </w:rPr>
        <w:t>小微企业增值税留抵退税政策</w:t>
      </w:r>
      <w:bookmarkEnd w:id="55"/>
      <w:bookmarkEnd w:id="56"/>
      <w:bookmarkEnd w:id="57"/>
      <w:bookmarkEnd w:id="58"/>
      <w:bookmarkEnd w:id="59"/>
      <w:bookmarkEnd w:id="60"/>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b/>
          <w:color w:val="000000"/>
          <w:sz w:val="28"/>
          <w:szCs w:val="28"/>
        </w:rPr>
      </w:pPr>
      <w:bookmarkStart w:id="61" w:name="_Toc12756"/>
      <w:r>
        <w:rPr>
          <w:b/>
          <w:color w:val="000000"/>
          <w:sz w:val="28"/>
          <w:szCs w:val="28"/>
        </w:rPr>
        <w:t>【享受主体】</w:t>
      </w:r>
      <w:bookmarkEnd w:id="61"/>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ascii="宋体" w:hAnsi="宋体" w:eastAsia="宋体" w:cs="宋体"/>
          <w:color w:val="000000"/>
          <w:sz w:val="28"/>
          <w:szCs w:val="28"/>
          <w:lang w:val="zh-CN" w:bidi="zh-CN"/>
        </w:rPr>
      </w:pPr>
      <w:bookmarkStart w:id="62" w:name="_Toc13806"/>
      <w:r>
        <w:rPr>
          <w:rFonts w:hint="eastAsia" w:ascii="宋体" w:hAnsi="宋体" w:eastAsia="宋体" w:cs="宋体"/>
          <w:color w:val="000000"/>
          <w:sz w:val="28"/>
          <w:szCs w:val="28"/>
          <w:lang w:val="zh-CN" w:bidi="zh-CN"/>
        </w:rPr>
        <w:t>符合条件的小微企业</w:t>
      </w:r>
      <w:bookmarkEnd w:id="62"/>
      <w:r>
        <w:rPr>
          <w:rFonts w:hint="eastAsia" w:ascii="宋体" w:hAnsi="宋体" w:eastAsia="宋体" w:cs="宋体"/>
          <w:color w:val="000000"/>
          <w:sz w:val="28"/>
          <w:szCs w:val="28"/>
          <w:lang w:val="zh-CN" w:bidi="zh-CN"/>
        </w:rPr>
        <w:t>（含个体工商户）</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b/>
          <w:color w:val="000000"/>
          <w:sz w:val="28"/>
          <w:szCs w:val="28"/>
        </w:rPr>
      </w:pPr>
      <w:bookmarkStart w:id="63" w:name="_Toc25771"/>
      <w:r>
        <w:rPr>
          <w:b/>
          <w:color w:val="000000"/>
          <w:sz w:val="28"/>
          <w:szCs w:val="28"/>
        </w:rPr>
        <w:t>【优惠内容】</w:t>
      </w:r>
      <w:bookmarkEnd w:id="63"/>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ascii="宋体" w:hAnsi="宋体" w:eastAsia="宋体" w:cs="宋体"/>
          <w:color w:val="000000"/>
          <w:sz w:val="28"/>
          <w:szCs w:val="28"/>
          <w:lang w:bidi="zh-CN"/>
        </w:rPr>
      </w:pPr>
      <w:r>
        <w:rPr>
          <w:rFonts w:hint="eastAsia" w:ascii="宋体" w:hAnsi="宋体" w:eastAsia="宋体" w:cs="宋体"/>
          <w:color w:val="000000"/>
          <w:sz w:val="28"/>
          <w:szCs w:val="28"/>
          <w:lang w:bidi="zh-CN"/>
        </w:rPr>
        <w:t>加大小微企业增值税期末留抵退税政策力度，将先进制造业按月全额退还增值税增量留抵税额政策范围扩大至符合条件的小微企业（含个体工商户，下同），并一次性退还小微企业存量留抵税额。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ascii="宋体" w:hAnsi="宋体" w:eastAsia="宋体" w:cs="宋体"/>
          <w:color w:val="000000"/>
          <w:sz w:val="28"/>
          <w:szCs w:val="28"/>
          <w:lang w:bidi="zh-CN"/>
        </w:rPr>
      </w:pPr>
      <w:r>
        <w:rPr>
          <w:rFonts w:hint="eastAsia" w:cs="宋体"/>
          <w:color w:val="000000"/>
          <w:sz w:val="28"/>
          <w:szCs w:val="28"/>
          <w:lang w:val="en-US" w:bidi="zh-CN"/>
        </w:rPr>
        <w:t>1.</w:t>
      </w:r>
      <w:r>
        <w:rPr>
          <w:rFonts w:hint="eastAsia" w:ascii="宋体" w:hAnsi="宋体" w:eastAsia="宋体" w:cs="宋体"/>
          <w:color w:val="000000"/>
          <w:sz w:val="28"/>
          <w:szCs w:val="28"/>
          <w:lang w:bidi="zh-CN"/>
        </w:rPr>
        <w:t>符合条件的小微企业，可以自2022年4月纳税申报期起向主管税务机关申请退还增量留抵税额。在2022年12月31日前，退税条件按照《财政部 税务总局关于进一步加大增值税期末留抵退税政策实施力度的公告》（2022年第14号）第三条规定执行。</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ascii="宋体" w:hAnsi="宋体" w:eastAsia="宋体" w:cs="宋体"/>
          <w:color w:val="000000"/>
          <w:sz w:val="28"/>
          <w:szCs w:val="28"/>
          <w:lang w:val="zh-CN" w:bidi="zh-CN"/>
        </w:rPr>
      </w:pPr>
      <w:r>
        <w:rPr>
          <w:rFonts w:hint="eastAsia" w:cs="宋体"/>
          <w:color w:val="000000"/>
          <w:sz w:val="28"/>
          <w:szCs w:val="28"/>
          <w:lang w:val="en-US" w:bidi="zh-CN"/>
        </w:rPr>
        <w:t>2.</w:t>
      </w:r>
      <w:r>
        <w:rPr>
          <w:rFonts w:hint="eastAsia" w:ascii="宋体" w:hAnsi="宋体" w:eastAsia="宋体" w:cs="宋体"/>
          <w:color w:val="000000"/>
          <w:sz w:val="28"/>
          <w:szCs w:val="28"/>
          <w:lang w:bidi="zh-CN"/>
        </w:rPr>
        <w:t>符合条件的微型企业，可以自2022年4月纳税申报期起向主管税务机关申请一次性退还存量留抵税额；符合条件的小型企业，可以自2022年5月纳税申报期起向主管税务机关申请一次性退还存量留抵税额。</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b/>
          <w:color w:val="000000"/>
          <w:sz w:val="28"/>
          <w:szCs w:val="28"/>
        </w:rPr>
      </w:pPr>
      <w:bookmarkStart w:id="64" w:name="_Toc10949"/>
      <w:r>
        <w:rPr>
          <w:b/>
          <w:color w:val="000000"/>
          <w:sz w:val="28"/>
          <w:szCs w:val="28"/>
        </w:rPr>
        <w:t>【享受条件】</w:t>
      </w:r>
      <w:bookmarkEnd w:id="64"/>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ascii="宋体" w:hAnsi="宋体" w:eastAsia="宋体" w:cs="宋体"/>
          <w:color w:val="000000"/>
          <w:sz w:val="28"/>
          <w:szCs w:val="28"/>
          <w:lang w:bidi="zh-CN"/>
        </w:rPr>
      </w:pPr>
      <w:r>
        <w:rPr>
          <w:rFonts w:hint="eastAsia" w:ascii="宋体" w:hAnsi="宋体" w:eastAsia="宋体" w:cs="宋体"/>
          <w:color w:val="000000"/>
          <w:sz w:val="28"/>
          <w:szCs w:val="28"/>
          <w:lang w:bidi="zh-CN"/>
        </w:rPr>
        <w:t>1.纳税人需同时符合以下条件：</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ascii="宋体" w:hAnsi="宋体" w:eastAsia="宋体" w:cs="宋体"/>
          <w:color w:val="000000"/>
          <w:sz w:val="28"/>
          <w:szCs w:val="28"/>
          <w:lang w:bidi="zh-CN"/>
        </w:rPr>
      </w:pPr>
      <w:r>
        <w:rPr>
          <w:rFonts w:hint="eastAsia" w:cs="宋体"/>
          <w:color w:val="000000"/>
          <w:sz w:val="28"/>
          <w:szCs w:val="28"/>
          <w:lang w:bidi="zh-CN"/>
        </w:rPr>
        <w:t>（</w:t>
      </w:r>
      <w:r>
        <w:rPr>
          <w:rFonts w:hint="eastAsia" w:cs="宋体"/>
          <w:color w:val="000000"/>
          <w:sz w:val="28"/>
          <w:szCs w:val="28"/>
          <w:lang w:val="en-US" w:bidi="zh-CN"/>
        </w:rPr>
        <w:t>1）</w:t>
      </w:r>
      <w:r>
        <w:rPr>
          <w:rFonts w:hint="eastAsia" w:ascii="宋体" w:hAnsi="宋体" w:eastAsia="宋体" w:cs="宋体"/>
          <w:color w:val="000000"/>
          <w:sz w:val="28"/>
          <w:szCs w:val="28"/>
          <w:lang w:bidi="zh-CN"/>
        </w:rPr>
        <w:t>纳税信用等级为A级或者B级；</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ascii="宋体" w:hAnsi="宋体" w:eastAsia="宋体" w:cs="宋体"/>
          <w:color w:val="000000"/>
          <w:sz w:val="28"/>
          <w:szCs w:val="28"/>
          <w:lang w:bidi="zh-CN"/>
        </w:rPr>
      </w:pPr>
      <w:r>
        <w:rPr>
          <w:rFonts w:hint="eastAsia" w:cs="宋体"/>
          <w:color w:val="000000"/>
          <w:sz w:val="28"/>
          <w:szCs w:val="28"/>
          <w:lang w:bidi="zh-CN"/>
        </w:rPr>
        <w:t>（</w:t>
      </w:r>
      <w:r>
        <w:rPr>
          <w:rFonts w:hint="eastAsia" w:cs="宋体"/>
          <w:color w:val="000000"/>
          <w:sz w:val="28"/>
          <w:szCs w:val="28"/>
          <w:lang w:val="en-US" w:bidi="zh-CN"/>
        </w:rPr>
        <w:t>2）</w:t>
      </w:r>
      <w:r>
        <w:rPr>
          <w:rFonts w:hint="eastAsia" w:ascii="宋体" w:hAnsi="宋体" w:eastAsia="宋体" w:cs="宋体"/>
          <w:color w:val="000000"/>
          <w:sz w:val="28"/>
          <w:szCs w:val="28"/>
          <w:lang w:bidi="zh-CN"/>
        </w:rPr>
        <w:t>申请退税前36个月未发生骗取留抵退税、骗取出口退税或虚开增值税专用发票情形；</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ascii="宋体" w:hAnsi="宋体" w:eastAsia="宋体" w:cs="宋体"/>
          <w:color w:val="000000"/>
          <w:sz w:val="28"/>
          <w:szCs w:val="28"/>
          <w:lang w:bidi="zh-CN"/>
        </w:rPr>
      </w:pPr>
      <w:r>
        <w:rPr>
          <w:rFonts w:hint="eastAsia" w:cs="宋体"/>
          <w:color w:val="000000"/>
          <w:sz w:val="28"/>
          <w:szCs w:val="28"/>
          <w:lang w:bidi="zh-CN"/>
        </w:rPr>
        <w:t>（</w:t>
      </w:r>
      <w:r>
        <w:rPr>
          <w:rFonts w:hint="eastAsia" w:cs="宋体"/>
          <w:color w:val="000000"/>
          <w:sz w:val="28"/>
          <w:szCs w:val="28"/>
          <w:lang w:val="en-US" w:bidi="zh-CN"/>
        </w:rPr>
        <w:t>3）</w:t>
      </w:r>
      <w:r>
        <w:rPr>
          <w:rFonts w:hint="eastAsia" w:ascii="宋体" w:hAnsi="宋体" w:eastAsia="宋体" w:cs="宋体"/>
          <w:color w:val="000000"/>
          <w:sz w:val="28"/>
          <w:szCs w:val="28"/>
          <w:lang w:bidi="zh-CN"/>
        </w:rPr>
        <w:t>申请退税前36个月未因偷税被税务机关处罚两次及以上；</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ascii="宋体" w:hAnsi="宋体" w:eastAsia="宋体" w:cs="宋体"/>
          <w:color w:val="000000"/>
          <w:sz w:val="28"/>
          <w:szCs w:val="28"/>
          <w:lang w:bidi="zh-CN"/>
        </w:rPr>
      </w:pPr>
      <w:r>
        <w:rPr>
          <w:rFonts w:hint="eastAsia" w:cs="宋体"/>
          <w:color w:val="000000"/>
          <w:sz w:val="28"/>
          <w:szCs w:val="28"/>
          <w:lang w:bidi="zh-CN"/>
        </w:rPr>
        <w:t>（</w:t>
      </w:r>
      <w:r>
        <w:rPr>
          <w:rFonts w:hint="eastAsia" w:cs="宋体"/>
          <w:color w:val="000000"/>
          <w:sz w:val="28"/>
          <w:szCs w:val="28"/>
          <w:lang w:val="en-US" w:bidi="zh-CN"/>
        </w:rPr>
        <w:t>4）</w:t>
      </w:r>
      <w:r>
        <w:rPr>
          <w:rFonts w:hint="eastAsia" w:ascii="宋体" w:hAnsi="宋体" w:eastAsia="宋体" w:cs="宋体"/>
          <w:color w:val="000000"/>
          <w:sz w:val="28"/>
          <w:szCs w:val="28"/>
          <w:lang w:bidi="zh-CN"/>
        </w:rPr>
        <w:t>2019年4月1日起未享受即征即退、先征后返（退）政策。</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ascii="宋体" w:hAnsi="宋体" w:eastAsia="宋体" w:cs="宋体"/>
          <w:color w:val="000000"/>
          <w:sz w:val="28"/>
          <w:szCs w:val="28"/>
          <w:lang w:bidi="zh-CN"/>
        </w:rPr>
      </w:pPr>
      <w:r>
        <w:rPr>
          <w:rFonts w:hint="eastAsia" w:ascii="宋体" w:hAnsi="宋体" w:eastAsia="宋体" w:cs="宋体"/>
          <w:color w:val="000000"/>
          <w:sz w:val="28"/>
          <w:szCs w:val="28"/>
          <w:lang w:bidi="zh-CN"/>
        </w:rPr>
        <w:t>2.增量留抵税额，区分以下情形确定：</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ascii="宋体" w:hAnsi="宋体" w:eastAsia="宋体" w:cs="宋体"/>
          <w:color w:val="000000"/>
          <w:sz w:val="28"/>
          <w:szCs w:val="28"/>
          <w:lang w:bidi="zh-CN"/>
        </w:rPr>
      </w:pPr>
      <w:r>
        <w:rPr>
          <w:rFonts w:hint="eastAsia" w:cs="宋体"/>
          <w:color w:val="000000"/>
          <w:sz w:val="28"/>
          <w:szCs w:val="28"/>
          <w:lang w:bidi="zh-CN"/>
        </w:rPr>
        <w:t>（</w:t>
      </w:r>
      <w:r>
        <w:rPr>
          <w:rFonts w:hint="eastAsia" w:cs="宋体"/>
          <w:color w:val="000000"/>
          <w:sz w:val="28"/>
          <w:szCs w:val="28"/>
          <w:lang w:val="en-US" w:bidi="zh-CN"/>
        </w:rPr>
        <w:t>1）</w:t>
      </w:r>
      <w:r>
        <w:rPr>
          <w:rFonts w:hint="eastAsia" w:ascii="宋体" w:hAnsi="宋体" w:eastAsia="宋体" w:cs="宋体"/>
          <w:color w:val="000000"/>
          <w:sz w:val="28"/>
          <w:szCs w:val="28"/>
          <w:lang w:bidi="zh-CN"/>
        </w:rPr>
        <w:t>纳税人获得一次性存量留抵退税前，增量留抵税额为当期期末留抵税额与2019年3月31日相比新增加的留抵税额。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cs="宋体"/>
          <w:color w:val="000000"/>
          <w:sz w:val="28"/>
          <w:szCs w:val="28"/>
          <w:lang w:bidi="zh-CN"/>
        </w:rPr>
        <w:t>（</w:t>
      </w:r>
      <w:r>
        <w:rPr>
          <w:rFonts w:hint="eastAsia" w:cs="宋体"/>
          <w:color w:val="000000"/>
          <w:sz w:val="28"/>
          <w:szCs w:val="28"/>
          <w:lang w:val="en-US" w:bidi="zh-CN"/>
        </w:rPr>
        <w:t>2）</w:t>
      </w:r>
      <w:r>
        <w:rPr>
          <w:rFonts w:hint="eastAsia" w:ascii="宋体" w:hAnsi="宋体" w:eastAsia="宋体" w:cs="宋体"/>
          <w:color w:val="000000"/>
          <w:sz w:val="28"/>
          <w:szCs w:val="28"/>
          <w:lang w:bidi="zh-CN"/>
        </w:rPr>
        <w:t>纳税人获得一次性存量留抵退税后，增量留抵税额为当期期末留抵税额。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ascii="宋体" w:hAnsi="宋体" w:eastAsia="宋体" w:cs="宋体"/>
          <w:color w:val="000000"/>
          <w:sz w:val="28"/>
          <w:szCs w:val="28"/>
          <w:lang w:bidi="zh-CN"/>
        </w:rPr>
        <w:t>3</w:t>
      </w:r>
      <w:r>
        <w:rPr>
          <w:rFonts w:ascii="宋体" w:hAnsi="宋体" w:eastAsia="宋体" w:cs="宋体"/>
          <w:color w:val="000000"/>
          <w:sz w:val="28"/>
          <w:szCs w:val="28"/>
          <w:lang w:bidi="zh-CN"/>
        </w:rPr>
        <w:t>.</w:t>
      </w:r>
      <w:r>
        <w:rPr>
          <w:rFonts w:hint="eastAsia" w:ascii="宋体" w:hAnsi="宋体" w:eastAsia="宋体" w:cs="宋体"/>
          <w:color w:val="000000"/>
          <w:sz w:val="28"/>
          <w:szCs w:val="28"/>
          <w:lang w:bidi="zh-CN"/>
        </w:rPr>
        <w:t>存量留抵税额，区分以下情形确定：</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cs="宋体"/>
          <w:color w:val="000000"/>
          <w:sz w:val="28"/>
          <w:szCs w:val="28"/>
          <w:lang w:bidi="zh-CN"/>
        </w:rPr>
        <w:t>（</w:t>
      </w:r>
      <w:r>
        <w:rPr>
          <w:rFonts w:hint="eastAsia" w:cs="宋体"/>
          <w:color w:val="000000"/>
          <w:sz w:val="28"/>
          <w:szCs w:val="28"/>
          <w:lang w:val="en-US" w:bidi="zh-CN"/>
        </w:rPr>
        <w:t>1）</w:t>
      </w:r>
      <w:r>
        <w:rPr>
          <w:rFonts w:hint="eastAsia" w:ascii="宋体" w:hAnsi="宋体" w:eastAsia="宋体" w:cs="宋体"/>
          <w:color w:val="000000"/>
          <w:sz w:val="28"/>
          <w:szCs w:val="28"/>
          <w:lang w:bidi="zh-CN"/>
        </w:rPr>
        <w:t>纳税人获得一次性存量留抵退税前，当期期末留抵税额大于或等于2019年3月31日期末留抵税额的，存量留抵税额为2019年3月31日期末留抵税额；当期期末留抵税额小于2019年3月31日期末留抵税额的，存量留抵税额为当期期末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cs="宋体"/>
          <w:color w:val="000000"/>
          <w:sz w:val="28"/>
          <w:szCs w:val="28"/>
          <w:lang w:bidi="zh-CN"/>
        </w:rPr>
        <w:t>（</w:t>
      </w:r>
      <w:r>
        <w:rPr>
          <w:rFonts w:hint="eastAsia" w:cs="宋体"/>
          <w:color w:val="000000"/>
          <w:sz w:val="28"/>
          <w:szCs w:val="28"/>
          <w:lang w:val="en-US" w:bidi="zh-CN"/>
        </w:rPr>
        <w:t>2）</w:t>
      </w:r>
      <w:r>
        <w:rPr>
          <w:rFonts w:hint="eastAsia" w:ascii="宋体" w:hAnsi="宋体" w:eastAsia="宋体" w:cs="宋体"/>
          <w:color w:val="000000"/>
          <w:sz w:val="28"/>
          <w:szCs w:val="28"/>
          <w:lang w:bidi="zh-CN"/>
        </w:rPr>
        <w:t>纳税人获得一次性存量留抵退税后，存量留抵税额为零。</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ascii="宋体" w:hAnsi="宋体" w:eastAsia="宋体" w:cs="宋体"/>
          <w:color w:val="000000"/>
          <w:sz w:val="28"/>
          <w:szCs w:val="28"/>
          <w:lang w:bidi="zh-CN"/>
        </w:rPr>
        <w:t>4</w:t>
      </w:r>
      <w:r>
        <w:rPr>
          <w:rFonts w:ascii="宋体" w:hAnsi="宋体" w:eastAsia="宋体" w:cs="宋体"/>
          <w:color w:val="000000"/>
          <w:sz w:val="28"/>
          <w:szCs w:val="28"/>
          <w:lang w:bidi="zh-CN"/>
        </w:rPr>
        <w:t>.</w:t>
      </w:r>
      <w:r>
        <w:rPr>
          <w:rFonts w:hint="eastAsia" w:ascii="宋体" w:hAnsi="宋体" w:eastAsia="宋体" w:cs="宋体"/>
          <w:color w:val="000000"/>
          <w:sz w:val="28"/>
          <w:szCs w:val="28"/>
          <w:lang w:bidi="zh-CN"/>
        </w:rPr>
        <w:t>纳税人按照以下公式计算允许退还的留抵税额：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ascii="宋体" w:hAnsi="宋体" w:eastAsia="宋体" w:cs="宋体"/>
          <w:color w:val="000000"/>
          <w:sz w:val="28"/>
          <w:szCs w:val="28"/>
          <w:lang w:bidi="zh-CN"/>
        </w:rPr>
        <w:t>允许退还的增量留抵税额=增量留抵税额×进项构成比例×100%</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ascii="宋体" w:hAnsi="宋体" w:eastAsia="宋体" w:cs="宋体"/>
          <w:color w:val="000000"/>
          <w:sz w:val="28"/>
          <w:szCs w:val="28"/>
          <w:lang w:bidi="zh-CN"/>
        </w:rPr>
        <w:t>允许退还的存量留抵税额=存量留抵税额×进项构成比例×100%</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ascii="宋体" w:hAnsi="宋体" w:eastAsia="宋体" w:cs="宋体"/>
          <w:color w:val="000000"/>
          <w:sz w:val="28"/>
          <w:szCs w:val="28"/>
          <w:lang w:bidi="zh-CN"/>
        </w:rPr>
        <w:t>进项构成比例，为2019年4月至申请退税前一税款所属期已抵扣的增值税专用发票（含带有“增值税专用发票”字样全面数字化的电子发票、税控机动车销售统一发票）、收费公路通行费增值税电子普通发票、海关进口增值税专用缴款书、解缴税款完税凭证注明的增值税额占同期全部已抵扣进项税额的比重。</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ascii="宋体" w:hAnsi="宋体" w:eastAsia="宋体" w:cs="宋体"/>
          <w:color w:val="000000"/>
          <w:sz w:val="28"/>
          <w:szCs w:val="28"/>
          <w:lang w:bidi="zh-CN"/>
        </w:rPr>
        <w:t>5</w:t>
      </w:r>
      <w:r>
        <w:rPr>
          <w:rFonts w:ascii="宋体" w:hAnsi="宋体" w:eastAsia="宋体" w:cs="宋体"/>
          <w:color w:val="000000"/>
          <w:sz w:val="28"/>
          <w:szCs w:val="28"/>
          <w:lang w:bidi="zh-CN"/>
        </w:rPr>
        <w:t>.</w:t>
      </w:r>
      <w:r>
        <w:rPr>
          <w:rFonts w:hint="eastAsia" w:ascii="宋体" w:hAnsi="宋体" w:eastAsia="宋体" w:cs="宋体"/>
          <w:color w:val="000000"/>
          <w:sz w:val="28"/>
          <w:szCs w:val="28"/>
          <w:lang w:bidi="zh-CN"/>
        </w:rPr>
        <w:t>纳税人出口货物劳务、发生跨境应税行为，适用免抵退税办法的，应先办理免抵退税。免抵退税办理完毕后，仍符合规定条件的，可以申请退还留抵税额；适用免退税办法的，相关进项税额不得用于退还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ascii="宋体" w:hAnsi="宋体" w:eastAsia="宋体" w:cs="宋体"/>
          <w:color w:val="000000"/>
          <w:sz w:val="28"/>
          <w:szCs w:val="28"/>
          <w:lang w:bidi="zh-CN"/>
        </w:rPr>
        <w:t>6</w:t>
      </w:r>
      <w:r>
        <w:rPr>
          <w:rFonts w:ascii="宋体" w:hAnsi="宋体" w:eastAsia="宋体" w:cs="宋体"/>
          <w:color w:val="000000"/>
          <w:sz w:val="28"/>
          <w:szCs w:val="28"/>
          <w:lang w:bidi="zh-CN"/>
        </w:rPr>
        <w:t>.</w:t>
      </w:r>
      <w:r>
        <w:rPr>
          <w:rFonts w:hint="eastAsia" w:ascii="宋体" w:hAnsi="宋体" w:eastAsia="宋体" w:cs="宋体"/>
          <w:color w:val="000000"/>
          <w:sz w:val="28"/>
          <w:szCs w:val="28"/>
          <w:lang w:bidi="zh-CN"/>
        </w:rPr>
        <w:t>纳税人自2019年4月1日起已取得留抵退税款的，不得再申请享受增值税即征即退、先征后返（退）政策。纳税人可以在2022年10月31日前一次性将已取得的留抵退税款全部缴回后，按规定申请享受增值税即征即退、先征后返（退）政策。</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ascii="宋体" w:hAnsi="宋体" w:eastAsia="宋体" w:cs="宋体"/>
          <w:color w:val="auto"/>
          <w:sz w:val="28"/>
          <w:szCs w:val="28"/>
          <w:lang w:bidi="zh-CN"/>
        </w:rPr>
        <w:t>纳税人自</w:t>
      </w:r>
      <w:r>
        <w:rPr>
          <w:rFonts w:hint="eastAsia" w:ascii="宋体" w:hAnsi="宋体" w:eastAsia="宋体" w:cs="宋体"/>
          <w:color w:val="000000"/>
          <w:sz w:val="28"/>
          <w:szCs w:val="28"/>
          <w:lang w:bidi="zh-CN"/>
        </w:rPr>
        <w:t>2019年4月1日起已享受增值税即征即退、先征后返（退）政策的，可以在2022年10月31日前一次性将已退还的增值税即征即退、先征后返（退）税款全部缴回后，按规定申请退还留抵税额。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ascii="宋体" w:hAnsi="宋体" w:eastAsia="宋体" w:cs="宋体"/>
          <w:color w:val="000000"/>
          <w:sz w:val="28"/>
          <w:szCs w:val="28"/>
          <w:lang w:bidi="zh-CN"/>
        </w:rPr>
      </w:pPr>
      <w:r>
        <w:rPr>
          <w:rFonts w:hint="eastAsia" w:ascii="宋体" w:hAnsi="宋体" w:eastAsia="宋体" w:cs="宋体"/>
          <w:color w:val="auto"/>
          <w:sz w:val="28"/>
          <w:szCs w:val="28"/>
          <w:lang w:bidi="zh-CN"/>
        </w:rPr>
        <w:t>7</w:t>
      </w:r>
      <w:r>
        <w:rPr>
          <w:rFonts w:ascii="宋体" w:hAnsi="宋体" w:eastAsia="宋体" w:cs="宋体"/>
          <w:color w:val="auto"/>
          <w:sz w:val="28"/>
          <w:szCs w:val="28"/>
          <w:lang w:bidi="zh-CN"/>
        </w:rPr>
        <w:t>.</w:t>
      </w:r>
      <w:r>
        <w:rPr>
          <w:rFonts w:hint="eastAsia" w:ascii="宋体" w:hAnsi="宋体" w:eastAsia="宋体" w:cs="宋体"/>
          <w:color w:val="auto"/>
          <w:sz w:val="28"/>
          <w:szCs w:val="28"/>
          <w:lang w:bidi="zh-CN"/>
        </w:rPr>
        <w:t>纳税人</w:t>
      </w:r>
      <w:r>
        <w:rPr>
          <w:rFonts w:hint="eastAsia" w:ascii="宋体" w:hAnsi="宋体" w:eastAsia="宋体" w:cs="宋体"/>
          <w:color w:val="000000"/>
          <w:sz w:val="28"/>
          <w:szCs w:val="28"/>
          <w:lang w:bidi="zh-CN"/>
        </w:rPr>
        <w:t>可以选择向主管税务机关申请留抵退税，也可以选择结转下期继续抵扣。纳税人应在纳税申报期内，完成当期增值税纳税申报后申请留抵退税。2022年4月至6月的留抵退税申请时间，延长至每月最后一个工作日。</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ascii="黑体" w:eastAsia="黑体"/>
          <w:color w:val="000000"/>
          <w:spacing w:val="11"/>
          <w:w w:val="95"/>
          <w:sz w:val="28"/>
          <w:szCs w:val="28"/>
          <w:lang w:val="en-US"/>
        </w:rPr>
      </w:pPr>
      <w:bookmarkStart w:id="65" w:name="_Toc5938"/>
      <w:r>
        <w:rPr>
          <w:b/>
          <w:color w:val="000000"/>
          <w:sz w:val="28"/>
          <w:szCs w:val="28"/>
        </w:rPr>
        <w:t>【政策依据】</w:t>
      </w:r>
      <w:bookmarkEnd w:id="65"/>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宋体" w:hAnsi="宋体" w:eastAsia="宋体" w:cs="宋体"/>
          <w:color w:val="000000"/>
          <w:sz w:val="28"/>
          <w:szCs w:val="28"/>
          <w:lang w:bidi="zh-CN"/>
        </w:rPr>
      </w:pPr>
      <w:r>
        <w:rPr>
          <w:rFonts w:hint="eastAsia" w:ascii="宋体" w:hAnsi="宋体" w:eastAsia="宋体" w:cs="宋体"/>
          <w:color w:val="000000"/>
          <w:sz w:val="28"/>
          <w:szCs w:val="28"/>
          <w:lang w:bidi="zh-CN"/>
        </w:rPr>
        <w:t>《财政部 税务总局关于进一步加大增值税期末留抵退税政策实施力度的公告》（2022年第14号）</w:t>
      </w:r>
    </w:p>
    <w:p>
      <w:pPr>
        <w:pStyle w:val="4"/>
        <w:tabs>
          <w:tab w:val="left" w:pos="484"/>
        </w:tabs>
        <w:ind w:left="0" w:firstLine="562" w:firstLineChars="200"/>
        <w:jc w:val="both"/>
        <w:rPr>
          <w:rFonts w:hint="eastAsia" w:asciiTheme="minorEastAsia" w:hAnsiTheme="minorEastAsia" w:eastAsiaTheme="minorEastAsia" w:cstheme="minorEastAsia"/>
          <w:b/>
          <w:bCs/>
          <w:color w:val="000000"/>
          <w:sz w:val="28"/>
          <w:szCs w:val="28"/>
          <w:lang w:val="en-US" w:eastAsia="zh-CN"/>
        </w:rPr>
      </w:pPr>
      <w:bookmarkStart w:id="66" w:name="_Toc24161"/>
      <w:bookmarkStart w:id="67" w:name="_Toc1036186236"/>
      <w:bookmarkStart w:id="68" w:name="_Toc1499964319"/>
      <w:bookmarkStart w:id="69" w:name="_Toc1923365652"/>
      <w:bookmarkStart w:id="70" w:name="_Toc11418"/>
      <w:r>
        <w:rPr>
          <w:rFonts w:hint="eastAsia" w:asciiTheme="minorEastAsia" w:hAnsiTheme="minorEastAsia" w:eastAsiaTheme="minorEastAsia" w:cstheme="minorEastAsia"/>
          <w:color w:val="000000"/>
          <w:sz w:val="28"/>
          <w:szCs w:val="28"/>
          <w:lang w:val="en-US" w:bidi="zh-CN"/>
        </w:rPr>
        <w:t>（二）</w:t>
      </w:r>
      <w:r>
        <w:rPr>
          <w:rFonts w:hint="eastAsia" w:asciiTheme="minorEastAsia" w:hAnsiTheme="minorEastAsia" w:eastAsiaTheme="minorEastAsia" w:cstheme="minorEastAsia"/>
          <w:b/>
          <w:bCs/>
          <w:color w:val="000000"/>
          <w:sz w:val="28"/>
          <w:szCs w:val="28"/>
          <w:lang w:val="en-US"/>
        </w:rPr>
        <w:t>制造业等行业</w:t>
      </w:r>
      <w:r>
        <w:rPr>
          <w:rFonts w:hint="eastAsia" w:asciiTheme="minorEastAsia" w:hAnsiTheme="minorEastAsia" w:eastAsiaTheme="minorEastAsia" w:cstheme="minorEastAsia"/>
          <w:b/>
          <w:bCs/>
          <w:color w:val="000000"/>
          <w:sz w:val="28"/>
          <w:szCs w:val="28"/>
          <w:lang w:val="en-US" w:eastAsia="zh-CN"/>
        </w:rPr>
        <w:t>增值税留抵退税政策</w:t>
      </w:r>
      <w:bookmarkEnd w:id="66"/>
      <w:bookmarkEnd w:id="67"/>
      <w:bookmarkEnd w:id="68"/>
      <w:bookmarkEnd w:id="69"/>
      <w:bookmarkEnd w:id="70"/>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zh-CN" w:bidi="zh-CN"/>
        </w:rPr>
      </w:pPr>
      <w:r>
        <w:rPr>
          <w:rFonts w:hint="eastAsia" w:asciiTheme="minorEastAsia" w:hAnsiTheme="minorEastAsia" w:eastAsiaTheme="minorEastAsia" w:cstheme="minorEastAsia"/>
          <w:color w:val="000000"/>
          <w:sz w:val="28"/>
          <w:szCs w:val="28"/>
          <w:lang w:bidi="zh-CN"/>
        </w:rPr>
        <w:t>符合条件的制造业等行业企业</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【优惠内容】</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加大“制造业”、“科学研究和技术服务业”、“电力、热力、燃气及水生产和供应业”、“软件和信息技术服务业”、“生态保护和环境治理业”和“交通运输、仓储和邮政业”（以下称制造业等行业）增值税期末留抵退税政策力度，将先进制造业按月全额退还增值税增量留抵税额政策范围扩大至符合条件的制造业等行业企业（含个体工商户，下同），并</w:t>
      </w:r>
      <w:r>
        <w:rPr>
          <w:rFonts w:hint="eastAsia" w:asciiTheme="minorEastAsia" w:hAnsiTheme="minorEastAsia" w:eastAsiaTheme="minorEastAsia" w:cstheme="minorEastAsia"/>
          <w:color w:val="auto"/>
          <w:sz w:val="28"/>
          <w:szCs w:val="28"/>
          <w:lang w:bidi="zh-CN"/>
        </w:rPr>
        <w:t>一次性退还制造业等行业企业存量留抵税额。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val="en-US" w:bidi="zh-CN"/>
        </w:rPr>
        <w:t>1.</w:t>
      </w:r>
      <w:r>
        <w:rPr>
          <w:rFonts w:hint="eastAsia" w:asciiTheme="minorEastAsia" w:hAnsiTheme="minorEastAsia" w:eastAsiaTheme="minorEastAsia" w:cstheme="minorEastAsia"/>
          <w:color w:val="000000"/>
          <w:sz w:val="28"/>
          <w:szCs w:val="28"/>
          <w:lang w:bidi="zh-CN"/>
        </w:rPr>
        <w:t>符合条件的制造业等行业企业，可以自2022年4月纳税申报期起向主管税务机关申请退还增量留抵税额。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zh-CN" w:bidi="zh-CN"/>
        </w:rPr>
      </w:pPr>
      <w:r>
        <w:rPr>
          <w:rFonts w:hint="eastAsia" w:asciiTheme="minorEastAsia" w:hAnsiTheme="minorEastAsia" w:eastAsiaTheme="minorEastAsia" w:cstheme="minorEastAsia"/>
          <w:color w:val="000000"/>
          <w:sz w:val="28"/>
          <w:szCs w:val="28"/>
          <w:lang w:val="en-US" w:bidi="zh-CN"/>
        </w:rPr>
        <w:t>2.</w:t>
      </w:r>
      <w:r>
        <w:rPr>
          <w:rFonts w:hint="eastAsia" w:asciiTheme="minorEastAsia" w:hAnsiTheme="minorEastAsia" w:eastAsiaTheme="minorEastAsia" w:cstheme="minorEastAsia"/>
          <w:color w:val="000000"/>
          <w:sz w:val="28"/>
          <w:szCs w:val="28"/>
          <w:lang w:bidi="zh-CN"/>
        </w:rPr>
        <w:t>符合条件的制造业等行业中型企业，可以自2022年7月纳税申报期起向主管税务机关申请一次性退还存量留抵税额；符合条件的制造业等行业大型企业，可以自2022年10月纳税申报期起向主管税务机关申请一次性退还存量留抵税额。</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1.纳税人需同时符合以下条件：</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w:t>
      </w:r>
      <w:r>
        <w:rPr>
          <w:rFonts w:hint="eastAsia" w:asciiTheme="minorEastAsia" w:hAnsiTheme="minorEastAsia" w:eastAsiaTheme="minorEastAsia" w:cstheme="minorEastAsia"/>
          <w:color w:val="000000"/>
          <w:sz w:val="28"/>
          <w:szCs w:val="28"/>
          <w:lang w:val="en-US" w:bidi="zh-CN"/>
        </w:rPr>
        <w:t>1）</w:t>
      </w:r>
      <w:r>
        <w:rPr>
          <w:rFonts w:hint="eastAsia" w:asciiTheme="minorEastAsia" w:hAnsiTheme="minorEastAsia" w:eastAsiaTheme="minorEastAsia" w:cstheme="minorEastAsia"/>
          <w:color w:val="000000"/>
          <w:sz w:val="28"/>
          <w:szCs w:val="28"/>
          <w:lang w:bidi="zh-CN"/>
        </w:rPr>
        <w:t>纳税信用等级为A级或者B级；</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w:t>
      </w:r>
      <w:r>
        <w:rPr>
          <w:rFonts w:hint="eastAsia" w:asciiTheme="minorEastAsia" w:hAnsiTheme="minorEastAsia" w:eastAsiaTheme="minorEastAsia" w:cstheme="minorEastAsia"/>
          <w:color w:val="000000"/>
          <w:sz w:val="28"/>
          <w:szCs w:val="28"/>
          <w:lang w:val="en-US" w:bidi="zh-CN"/>
        </w:rPr>
        <w:t>2）</w:t>
      </w:r>
      <w:r>
        <w:rPr>
          <w:rFonts w:hint="eastAsia" w:asciiTheme="minorEastAsia" w:hAnsiTheme="minorEastAsia" w:eastAsiaTheme="minorEastAsia" w:cstheme="minorEastAsia"/>
          <w:color w:val="000000"/>
          <w:sz w:val="28"/>
          <w:szCs w:val="28"/>
          <w:lang w:bidi="zh-CN"/>
        </w:rPr>
        <w:t>申请退税前36个月未发生骗取留抵退税、骗取出口退税或虚开增值税专用发票情形；</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w:t>
      </w:r>
      <w:r>
        <w:rPr>
          <w:rFonts w:hint="eastAsia" w:asciiTheme="minorEastAsia" w:hAnsiTheme="minorEastAsia" w:eastAsiaTheme="minorEastAsia" w:cstheme="minorEastAsia"/>
          <w:color w:val="000000"/>
          <w:sz w:val="28"/>
          <w:szCs w:val="28"/>
          <w:lang w:val="en-US" w:bidi="zh-CN"/>
        </w:rPr>
        <w:t>3）</w:t>
      </w:r>
      <w:r>
        <w:rPr>
          <w:rFonts w:hint="eastAsia" w:asciiTheme="minorEastAsia" w:hAnsiTheme="minorEastAsia" w:eastAsiaTheme="minorEastAsia" w:cstheme="minorEastAsia"/>
          <w:color w:val="000000"/>
          <w:sz w:val="28"/>
          <w:szCs w:val="28"/>
          <w:lang w:bidi="zh-CN"/>
        </w:rPr>
        <w:t>申请退税前36个月未因偷税被税务机关处罚两次及以上；</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w:t>
      </w:r>
      <w:r>
        <w:rPr>
          <w:rFonts w:hint="eastAsia" w:asciiTheme="minorEastAsia" w:hAnsiTheme="minorEastAsia" w:eastAsiaTheme="minorEastAsia" w:cstheme="minorEastAsia"/>
          <w:color w:val="000000"/>
          <w:sz w:val="28"/>
          <w:szCs w:val="28"/>
          <w:lang w:val="en-US" w:bidi="zh-CN"/>
        </w:rPr>
        <w:t>4）</w:t>
      </w:r>
      <w:r>
        <w:rPr>
          <w:rFonts w:hint="eastAsia" w:asciiTheme="minorEastAsia" w:hAnsiTheme="minorEastAsia" w:eastAsiaTheme="minorEastAsia" w:cstheme="minorEastAsia"/>
          <w:color w:val="000000"/>
          <w:sz w:val="28"/>
          <w:szCs w:val="28"/>
          <w:lang w:bidi="zh-CN"/>
        </w:rPr>
        <w:t>2019年4月1日起未享受即征即退、先征后返（退）政策。</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2.增量留抵税额，区分以下情形确定：</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w:t>
      </w:r>
      <w:r>
        <w:rPr>
          <w:rFonts w:hint="eastAsia" w:asciiTheme="minorEastAsia" w:hAnsiTheme="minorEastAsia" w:eastAsiaTheme="minorEastAsia" w:cstheme="minorEastAsia"/>
          <w:color w:val="000000"/>
          <w:sz w:val="28"/>
          <w:szCs w:val="28"/>
          <w:lang w:val="en-US" w:bidi="zh-CN"/>
        </w:rPr>
        <w:t>1）</w:t>
      </w:r>
      <w:r>
        <w:rPr>
          <w:rFonts w:hint="eastAsia" w:asciiTheme="minorEastAsia" w:hAnsiTheme="minorEastAsia" w:eastAsiaTheme="minorEastAsia" w:cstheme="minorEastAsia"/>
          <w:color w:val="000000"/>
          <w:sz w:val="28"/>
          <w:szCs w:val="28"/>
          <w:lang w:bidi="zh-CN"/>
        </w:rPr>
        <w:t>纳税人获得一次性存量留抵退税前，增量留抵税额为当期期末留抵税额与2019年3月31日相比新增加的留抵税额。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w:t>
      </w:r>
      <w:r>
        <w:rPr>
          <w:rFonts w:hint="eastAsia" w:asciiTheme="minorEastAsia" w:hAnsiTheme="minorEastAsia" w:eastAsiaTheme="minorEastAsia" w:cstheme="minorEastAsia"/>
          <w:color w:val="000000"/>
          <w:sz w:val="28"/>
          <w:szCs w:val="28"/>
          <w:lang w:val="en-US" w:bidi="zh-CN"/>
        </w:rPr>
        <w:t>2）</w:t>
      </w:r>
      <w:r>
        <w:rPr>
          <w:rFonts w:hint="eastAsia" w:asciiTheme="minorEastAsia" w:hAnsiTheme="minorEastAsia" w:eastAsiaTheme="minorEastAsia" w:cstheme="minorEastAsia"/>
          <w:color w:val="000000"/>
          <w:sz w:val="28"/>
          <w:szCs w:val="28"/>
          <w:lang w:bidi="zh-CN"/>
        </w:rPr>
        <w:t>纳税人获得一次性存量留抵退税后，增量留抵税额为当期期末留抵税额。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3.存量留抵税额，区分以下情形确定：</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w:t>
      </w:r>
      <w:r>
        <w:rPr>
          <w:rFonts w:hint="eastAsia" w:asciiTheme="minorEastAsia" w:hAnsiTheme="minorEastAsia" w:eastAsiaTheme="minorEastAsia" w:cstheme="minorEastAsia"/>
          <w:color w:val="000000"/>
          <w:sz w:val="28"/>
          <w:szCs w:val="28"/>
          <w:lang w:val="en-US" w:bidi="zh-CN"/>
        </w:rPr>
        <w:t>1）</w:t>
      </w:r>
      <w:r>
        <w:rPr>
          <w:rFonts w:hint="eastAsia" w:asciiTheme="minorEastAsia" w:hAnsiTheme="minorEastAsia" w:eastAsiaTheme="minorEastAsia" w:cstheme="minorEastAsia"/>
          <w:color w:val="000000"/>
          <w:sz w:val="28"/>
          <w:szCs w:val="28"/>
          <w:lang w:bidi="zh-CN"/>
        </w:rPr>
        <w:t>纳税人获得一次性存量留抵退税前，当期期末留抵税额大于或等于2019年3月31日期末留抵税额的，存量留抵税额为2019年3月31日期末留抵税额；当期期末留抵税额小于2019年3月31日期末留抵税额的，存量留抵税额为当期期末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w:t>
      </w:r>
      <w:r>
        <w:rPr>
          <w:rFonts w:hint="eastAsia" w:asciiTheme="minorEastAsia" w:hAnsiTheme="minorEastAsia" w:eastAsiaTheme="minorEastAsia" w:cstheme="minorEastAsia"/>
          <w:color w:val="000000"/>
          <w:sz w:val="28"/>
          <w:szCs w:val="28"/>
          <w:lang w:val="en-US" w:bidi="zh-CN"/>
        </w:rPr>
        <w:t>2）</w:t>
      </w:r>
      <w:r>
        <w:rPr>
          <w:rFonts w:hint="eastAsia" w:asciiTheme="minorEastAsia" w:hAnsiTheme="minorEastAsia" w:eastAsiaTheme="minorEastAsia" w:cstheme="minorEastAsia"/>
          <w:color w:val="000000"/>
          <w:sz w:val="28"/>
          <w:szCs w:val="28"/>
          <w:lang w:bidi="zh-CN"/>
        </w:rPr>
        <w:t>纳税人获得一次性存量留抵退税后，存量留抵税额为零。</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4.纳税人按照以下公式计算允许退还的留抵税额：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允许退还的增量留抵税额=增量留抵税额×进项构成比例×100%</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允许退还的存量留抵税额=存量留抵税额×进项构成比例×100%</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进项构成比例，为2019年4月至申请退税前一税款所属期已抵扣的增值税专用发票（含带有“增值税专用发票”字样全面数字化的电子发票、税控机动车销售统一发票）、收费公路通行费增值税电子普通发票、海关进口增值税专用缴款书、解缴税款完税凭证注明的增值税额占同期全部已抵扣进项税额的比重。</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5.纳税人出口货物劳务、发生跨境应税行为，适用免抵退税办法的，应先办理免抵退税。免抵退税办理完毕后，仍符合规定条件的，可以申请退还留抵税额；适用免退税办法的，相关进项税额不得用于退还留抵税额。</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6.纳税人自2019年4月1日起已取得留抵退税款的，不得再申请享受增值税即征即退、先征后返（退）政策。纳税人可以在2022年10月31日前一次性将已取得的留抵退税款全部缴回后，按规定申请享受增值税即征即退、先征后返（退）政策。</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纳税人自2019年4月1日起已享受增值税即征即退、先征后返（退）政策的，可以在2022年10月31日前一次性将已退还的增值税即征即退、先征后返（退）税款全部缴回后，按规定申请退还留抵税额。</w:t>
      </w:r>
    </w:p>
    <w:p>
      <w:pPr>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7.纳税人可以选择向主管税务机关申请留抵退税，也可以选择结转下期继续抵扣。纳税人应在纳税申报期内，完成当期增值税纳税申报后申请留抵退税。2022年4月至6月的留抵退税申请时间，延长至每月最后一个工作日。</w:t>
      </w:r>
    </w:p>
    <w:p>
      <w:pPr>
        <w:keepNext w:val="0"/>
        <w:keepLines w:val="0"/>
        <w:pageBreakBefore w:val="0"/>
        <w:widowControl w:val="0"/>
        <w:kinsoku/>
        <w:wordWrap/>
        <w:overflowPunct/>
        <w:topLinePunct w:val="0"/>
        <w:bidi w:val="0"/>
        <w:adjustRightInd/>
        <w:snapToGrid/>
        <w:spacing w:line="600" w:lineRule="exact"/>
        <w:ind w:left="0" w:firstLine="562" w:firstLineChars="200"/>
        <w:jc w:val="both"/>
        <w:textAlignment w:val="auto"/>
        <w:outlineLvl w:val="2"/>
        <w:rPr>
          <w:rFonts w:hint="eastAsia" w:asciiTheme="minorEastAsia" w:hAnsiTheme="minorEastAsia" w:eastAsiaTheme="minorEastAsia" w:cstheme="minorEastAsia"/>
          <w:color w:val="000000"/>
          <w:spacing w:val="11"/>
          <w:w w:val="95"/>
          <w:sz w:val="28"/>
          <w:szCs w:val="28"/>
          <w:lang w:val="en-US"/>
        </w:rPr>
      </w:pPr>
      <w:r>
        <w:rPr>
          <w:rFonts w:hint="eastAsia" w:asciiTheme="minorEastAsia" w:hAnsiTheme="minorEastAsia" w:eastAsiaTheme="minorEastAsia" w:cstheme="minorEastAsia"/>
          <w:b/>
          <w:color w:val="000000"/>
          <w:sz w:val="28"/>
          <w:szCs w:val="28"/>
        </w:rPr>
        <w:t>【政策依据】</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《财政部 税务总局关于进一步加大增值税期末留抵退税政策实施力度的公告》（2022年第14号）</w:t>
      </w:r>
    </w:p>
    <w:p>
      <w:pPr>
        <w:pStyle w:val="4"/>
        <w:keepNext w:val="0"/>
        <w:keepLines w:val="0"/>
        <w:pageBreakBefore w:val="0"/>
        <w:widowControl w:val="0"/>
        <w:tabs>
          <w:tab w:val="left" w:pos="484"/>
        </w:tabs>
        <w:kinsoku/>
        <w:wordWrap/>
        <w:overflowPunct/>
        <w:topLinePunct w:val="0"/>
        <w:bidi w:val="0"/>
        <w:adjustRightInd/>
        <w:snapToGrid/>
        <w:spacing w:line="600" w:lineRule="exact"/>
        <w:ind w:left="0"/>
        <w:jc w:val="both"/>
        <w:textAlignment w:val="auto"/>
        <w:rPr>
          <w:rFonts w:hint="eastAsia" w:asciiTheme="minorEastAsia" w:hAnsiTheme="minorEastAsia" w:eastAsiaTheme="minorEastAsia" w:cstheme="minorEastAsia"/>
          <w:color w:val="000000"/>
          <w:sz w:val="28"/>
          <w:szCs w:val="28"/>
          <w:lang w:val="en-US"/>
        </w:rPr>
      </w:pPr>
      <w:bookmarkStart w:id="71" w:name="_Toc26510"/>
      <w:r>
        <w:rPr>
          <w:rFonts w:hint="eastAsia" w:asciiTheme="minorEastAsia" w:hAnsiTheme="minorEastAsia" w:eastAsiaTheme="minorEastAsia" w:cstheme="minorEastAsia"/>
          <w:color w:val="000000"/>
          <w:sz w:val="28"/>
          <w:szCs w:val="28"/>
          <w:lang w:val="en-US" w:eastAsia="zh-CN"/>
        </w:rPr>
        <w:t xml:space="preserve">   </w:t>
      </w:r>
      <w:bookmarkStart w:id="72" w:name="_Toc17563"/>
      <w:bookmarkStart w:id="73" w:name="_Toc1285330571"/>
      <w:bookmarkStart w:id="74" w:name="_Toc222693118"/>
      <w:bookmarkStart w:id="75" w:name="_Toc676771758"/>
      <w:bookmarkStart w:id="76" w:name="_Toc1710652663"/>
      <w:r>
        <w:rPr>
          <w:rFonts w:hint="eastAsia" w:asciiTheme="minorEastAsia" w:hAnsiTheme="minorEastAsia" w:eastAsiaTheme="minorEastAsia" w:cstheme="minorEastAsia"/>
          <w:color w:val="000000"/>
          <w:sz w:val="28"/>
          <w:szCs w:val="28"/>
          <w:lang w:val="en-US" w:eastAsia="zh-CN"/>
        </w:rPr>
        <w:t>（三）</w:t>
      </w:r>
      <w:r>
        <w:rPr>
          <w:rFonts w:hint="eastAsia" w:asciiTheme="minorEastAsia" w:hAnsiTheme="minorEastAsia" w:eastAsiaTheme="minorEastAsia" w:cstheme="minorEastAsia"/>
          <w:color w:val="000000"/>
          <w:sz w:val="28"/>
          <w:szCs w:val="28"/>
          <w:lang w:val="en-US"/>
        </w:rPr>
        <w:t>中小微企业设备器具所得税税前扣除</w:t>
      </w:r>
      <w:r>
        <w:rPr>
          <w:rFonts w:hint="eastAsia" w:asciiTheme="minorEastAsia" w:hAnsiTheme="minorEastAsia" w:eastAsiaTheme="minorEastAsia" w:cstheme="minorEastAsia"/>
          <w:color w:val="000000"/>
          <w:sz w:val="28"/>
          <w:szCs w:val="28"/>
          <w:lang w:val="en-US" w:eastAsia="zh-CN"/>
        </w:rPr>
        <w:t>政策</w:t>
      </w:r>
      <w:bookmarkEnd w:id="71"/>
      <w:bookmarkEnd w:id="72"/>
      <w:bookmarkEnd w:id="73"/>
      <w:bookmarkEnd w:id="74"/>
      <w:bookmarkEnd w:id="75"/>
      <w:bookmarkEnd w:id="76"/>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77" w:name="_Toc21190"/>
      <w:bookmarkStart w:id="78" w:name="_Toc2401"/>
      <w:bookmarkStart w:id="79" w:name="_Toc20306"/>
      <w:bookmarkStart w:id="80" w:name="_Toc9492"/>
      <w:bookmarkStart w:id="81" w:name="_Toc21811"/>
      <w:bookmarkStart w:id="82" w:name="_Toc20080"/>
      <w:bookmarkStart w:id="83" w:name="_Toc31335"/>
      <w:r>
        <w:rPr>
          <w:rFonts w:hint="eastAsia" w:asciiTheme="minorEastAsia" w:hAnsiTheme="minorEastAsia" w:eastAsiaTheme="minorEastAsia" w:cstheme="minorEastAsia"/>
          <w:b/>
          <w:color w:val="000000"/>
          <w:sz w:val="28"/>
          <w:szCs w:val="28"/>
        </w:rPr>
        <w:t>【享受主体】</w:t>
      </w:r>
      <w:bookmarkEnd w:id="77"/>
      <w:bookmarkEnd w:id="78"/>
      <w:bookmarkEnd w:id="79"/>
      <w:bookmarkEnd w:id="80"/>
      <w:bookmarkEnd w:id="81"/>
      <w:bookmarkEnd w:id="82"/>
      <w:bookmarkEnd w:id="83"/>
    </w:p>
    <w:p>
      <w:pPr>
        <w:pStyle w:val="8"/>
        <w:keepNext w:val="0"/>
        <w:keepLines w:val="0"/>
        <w:pageBreakBefore w:val="0"/>
        <w:widowControl w:val="0"/>
        <w:kinsoku/>
        <w:wordWrap/>
        <w:overflowPunct/>
        <w:topLinePunct w:val="0"/>
        <w:bidi w:val="0"/>
        <w:adjustRightInd/>
        <w:snapToGrid/>
        <w:spacing w:line="600" w:lineRule="exact"/>
        <w:ind w:left="522" w:right="3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中小微企业</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rPr>
      </w:pPr>
      <w:bookmarkStart w:id="84" w:name="_Toc19625"/>
      <w:bookmarkStart w:id="85" w:name="_Toc27435"/>
      <w:bookmarkStart w:id="86" w:name="_Toc26396"/>
      <w:bookmarkStart w:id="87" w:name="_Toc31325"/>
      <w:bookmarkStart w:id="88" w:name="_Toc23884"/>
      <w:bookmarkStart w:id="89" w:name="_Toc24851"/>
      <w:bookmarkStart w:id="90" w:name="_Toc3111"/>
      <w:r>
        <w:rPr>
          <w:rFonts w:hint="eastAsia" w:asciiTheme="minorEastAsia" w:hAnsiTheme="minorEastAsia" w:eastAsiaTheme="minorEastAsia" w:cstheme="minorEastAsia"/>
          <w:b/>
          <w:color w:val="000000"/>
          <w:sz w:val="28"/>
          <w:szCs w:val="28"/>
        </w:rPr>
        <w:t>【优惠内容】</w:t>
      </w:r>
      <w:bookmarkEnd w:id="84"/>
      <w:bookmarkEnd w:id="85"/>
      <w:bookmarkEnd w:id="86"/>
      <w:bookmarkEnd w:id="87"/>
      <w:bookmarkEnd w:id="88"/>
      <w:bookmarkEnd w:id="89"/>
      <w:bookmarkEnd w:id="90"/>
    </w:p>
    <w:p>
      <w:pPr>
        <w:pStyle w:val="8"/>
        <w:keepNext w:val="0"/>
        <w:keepLines w:val="0"/>
        <w:pageBreakBefore w:val="0"/>
        <w:widowControl w:val="0"/>
        <w:kinsoku/>
        <w:wordWrap/>
        <w:overflowPunct/>
        <w:topLinePunct w:val="0"/>
        <w:bidi w:val="0"/>
        <w:adjustRightInd/>
        <w:snapToGrid/>
        <w:spacing w:line="600" w:lineRule="exact"/>
        <w:ind w:left="0" w:right="30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中小微企业在2022年1月1日至2022年12月31日期间新购置的设备、器具，单位价值在500万元以上的，按照单位价值的一定比例自愿选择在企业所得税税前扣除。其中，企业所得税法实施条例规定最低折旧年限为3年的设备器具，单位价值的100%可在当年一次性税前扣除；最低折旧年限为4年、5年、10年的，单位价值的50%可在当年一次性税前扣除，其余50%按规定在剩余年度计算折旧进行税前扣除。</w:t>
      </w:r>
    </w:p>
    <w:p>
      <w:pPr>
        <w:pStyle w:val="8"/>
        <w:keepNext w:val="0"/>
        <w:keepLines w:val="0"/>
        <w:pageBreakBefore w:val="0"/>
        <w:widowControl w:val="0"/>
        <w:kinsoku/>
        <w:wordWrap/>
        <w:overflowPunct/>
        <w:topLinePunct w:val="0"/>
        <w:bidi w:val="0"/>
        <w:adjustRightInd/>
        <w:snapToGrid/>
        <w:spacing w:line="600" w:lineRule="exact"/>
        <w:ind w:left="0" w:right="30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企业选择适用上述政策当年不足扣除形成的亏损，可在以后5个纳税年度结转弥补，享受其他延长亏损结转年限政策的企业可按现行规定执行。</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rPr>
      </w:pPr>
      <w:bookmarkStart w:id="91" w:name="_Toc11177"/>
      <w:bookmarkStart w:id="92" w:name="_Toc23879"/>
      <w:bookmarkStart w:id="93" w:name="_Toc25064"/>
      <w:bookmarkStart w:id="94" w:name="_Toc25594"/>
      <w:bookmarkStart w:id="95" w:name="_Toc6197"/>
      <w:bookmarkStart w:id="96" w:name="_Toc5392"/>
      <w:bookmarkStart w:id="97" w:name="_Toc6035"/>
      <w:r>
        <w:rPr>
          <w:rFonts w:hint="eastAsia" w:asciiTheme="minorEastAsia" w:hAnsiTheme="minorEastAsia" w:eastAsiaTheme="minorEastAsia" w:cstheme="minorEastAsia"/>
          <w:b/>
          <w:color w:val="000000"/>
          <w:sz w:val="28"/>
          <w:szCs w:val="28"/>
        </w:rPr>
        <w:t>【享受条件】</w:t>
      </w:r>
      <w:bookmarkEnd w:id="91"/>
      <w:bookmarkEnd w:id="92"/>
      <w:bookmarkEnd w:id="93"/>
      <w:bookmarkEnd w:id="94"/>
      <w:bookmarkEnd w:id="95"/>
      <w:bookmarkEnd w:id="96"/>
      <w:bookmarkEnd w:id="97"/>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rPr>
        <w:t>1.</w:t>
      </w:r>
      <w:r>
        <w:rPr>
          <w:rFonts w:hint="eastAsia" w:asciiTheme="minorEastAsia" w:hAnsiTheme="minorEastAsia" w:eastAsiaTheme="minorEastAsia" w:cstheme="minorEastAsia"/>
          <w:color w:val="000000"/>
          <w:sz w:val="28"/>
          <w:szCs w:val="28"/>
        </w:rPr>
        <w:t xml:space="preserve"> 中小微企业是指从事国家非限制和禁止行业，且符合以下条件的企业：</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eastAsia="zh-CN"/>
        </w:rPr>
        <w:t>（</w:t>
      </w: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rPr>
        <w:t>信息传输业、建筑业、租赁和商务服务业：从业人员2000人以下，或营业收入10亿元以下或资产总额12亿元以下；</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eastAsia="zh-CN"/>
        </w:rPr>
        <w:t>（</w:t>
      </w:r>
      <w:r>
        <w:rPr>
          <w:rFonts w:hint="eastAsia" w:asciiTheme="minorEastAsia" w:hAnsiTheme="minorEastAsia" w:eastAsiaTheme="minorEastAsia" w:cstheme="minorEastAsia"/>
          <w:color w:val="000000"/>
          <w:sz w:val="28"/>
          <w:szCs w:val="28"/>
          <w:lang w:val="en-US" w:eastAsia="zh-CN"/>
        </w:rPr>
        <w:t>2）</w:t>
      </w:r>
      <w:r>
        <w:rPr>
          <w:rFonts w:hint="eastAsia" w:asciiTheme="minorEastAsia" w:hAnsiTheme="minorEastAsia" w:eastAsiaTheme="minorEastAsia" w:cstheme="minorEastAsia"/>
          <w:color w:val="000000"/>
          <w:sz w:val="28"/>
          <w:szCs w:val="28"/>
        </w:rPr>
        <w:t>房地产开发经营：营业收入20亿元以下或资产总额1亿元以下；</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eastAsia="zh-CN"/>
        </w:rPr>
        <w:t>（</w:t>
      </w:r>
      <w:r>
        <w:rPr>
          <w:rFonts w:hint="eastAsia" w:asciiTheme="minorEastAsia" w:hAnsiTheme="minorEastAsia" w:eastAsiaTheme="minorEastAsia" w:cstheme="minorEastAsia"/>
          <w:color w:val="000000"/>
          <w:sz w:val="28"/>
          <w:szCs w:val="28"/>
          <w:lang w:val="en-US" w:eastAsia="zh-CN"/>
        </w:rPr>
        <w:t>3）</w:t>
      </w:r>
      <w:r>
        <w:rPr>
          <w:rFonts w:hint="eastAsia" w:asciiTheme="minorEastAsia" w:hAnsiTheme="minorEastAsia" w:eastAsiaTheme="minorEastAsia" w:cstheme="minorEastAsia"/>
          <w:color w:val="000000"/>
          <w:sz w:val="28"/>
          <w:szCs w:val="28"/>
        </w:rPr>
        <w:t>其他行业：从业人员1000人以下或营业收入4亿元以下。</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rPr>
        <w:t>2.</w:t>
      </w:r>
      <w:r>
        <w:rPr>
          <w:rFonts w:hint="eastAsia" w:asciiTheme="minorEastAsia" w:hAnsiTheme="minorEastAsia" w:eastAsiaTheme="minorEastAsia" w:cstheme="minorEastAsia"/>
          <w:color w:val="000000"/>
          <w:sz w:val="28"/>
          <w:szCs w:val="28"/>
        </w:rPr>
        <w:t xml:space="preserve"> 设备、器具，是指除房屋、建筑物以外的固定资产；从业人数，包括与企业建立劳动关系的职工人数和企业接受的劳务派遣用工人数。</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从业人数和资产总额指标，应按企业全年的季度平均值确定。具体计算公式如下：</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季度平均值=（季初值+季末值）÷2</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全年季度平均值=全年各季度平均值之和÷4</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年度中间开业或者终止经营活动的，以其实际经营期作为一个纳税年度确定上述相关指标。</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rPr>
        <w:t>3</w:t>
      </w:r>
      <w:r>
        <w:rPr>
          <w:rFonts w:hint="eastAsia" w:asciiTheme="minorEastAsia" w:hAnsiTheme="minorEastAsia" w:eastAsiaTheme="minorEastAsia" w:cstheme="minorEastAsia"/>
          <w:color w:val="000000"/>
          <w:sz w:val="28"/>
          <w:szCs w:val="28"/>
          <w:lang w:val="en-US" w:eastAsia="zh-CN"/>
        </w:rPr>
        <w:t>.</w:t>
      </w:r>
      <w:r>
        <w:rPr>
          <w:rFonts w:hint="eastAsia" w:asciiTheme="minorEastAsia" w:hAnsiTheme="minorEastAsia" w:eastAsiaTheme="minorEastAsia" w:cstheme="minorEastAsia"/>
          <w:color w:val="000000"/>
          <w:sz w:val="28"/>
          <w:szCs w:val="28"/>
        </w:rPr>
        <w:t>中小微企业可按季（月）在预缴申报时享受上述政策。《财政部 税务总局关于中小微企业设备器具所得税税前扣除有关政策的公告</w:t>
      </w:r>
      <w:r>
        <w:rPr>
          <w:rFonts w:hint="eastAsia" w:asciiTheme="minorEastAsia" w:hAnsiTheme="minorEastAsia" w:eastAsiaTheme="minorEastAsia" w:cstheme="minorEastAsia"/>
          <w:color w:val="000000"/>
          <w:sz w:val="28"/>
          <w:szCs w:val="28"/>
          <w:lang w:eastAsia="zh-CN"/>
        </w:rPr>
        <w:t>》</w:t>
      </w:r>
      <w:r>
        <w:rPr>
          <w:rFonts w:hint="eastAsia" w:asciiTheme="minorEastAsia" w:hAnsiTheme="minorEastAsia" w:eastAsiaTheme="minorEastAsia" w:cstheme="minorEastAsia"/>
          <w:color w:val="000000"/>
          <w:sz w:val="28"/>
          <w:szCs w:val="28"/>
        </w:rPr>
        <w:t>（2022年第12号）发布前企业在2022年已购置的设备、器具，可在</w:t>
      </w:r>
      <w:r>
        <w:rPr>
          <w:rFonts w:hint="eastAsia" w:asciiTheme="minorEastAsia" w:hAnsiTheme="minorEastAsia" w:eastAsiaTheme="minorEastAsia" w:cstheme="minorEastAsia"/>
          <w:color w:val="000000"/>
          <w:sz w:val="28"/>
          <w:szCs w:val="28"/>
          <w:lang w:eastAsia="zh-CN"/>
        </w:rPr>
        <w:t>政策</w:t>
      </w:r>
      <w:r>
        <w:rPr>
          <w:rFonts w:hint="eastAsia" w:asciiTheme="minorEastAsia" w:hAnsiTheme="minorEastAsia" w:eastAsiaTheme="minorEastAsia" w:cstheme="minorEastAsia"/>
          <w:color w:val="000000"/>
          <w:sz w:val="28"/>
          <w:szCs w:val="28"/>
        </w:rPr>
        <w:t>发布后的预缴申报、年度汇算清缴时享受。</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rPr>
        <w:t>4</w:t>
      </w:r>
      <w:r>
        <w:rPr>
          <w:rFonts w:hint="eastAsia" w:asciiTheme="minorEastAsia" w:hAnsiTheme="minorEastAsia" w:eastAsiaTheme="minorEastAsia" w:cstheme="minorEastAsia"/>
          <w:color w:val="000000"/>
          <w:sz w:val="28"/>
          <w:szCs w:val="28"/>
          <w:lang w:val="en-US" w:eastAsia="zh-CN"/>
        </w:rPr>
        <w:t>.</w:t>
      </w:r>
      <w:r>
        <w:rPr>
          <w:rFonts w:hint="eastAsia" w:asciiTheme="minorEastAsia" w:hAnsiTheme="minorEastAsia" w:eastAsiaTheme="minorEastAsia" w:cstheme="minorEastAsia"/>
          <w:color w:val="000000"/>
          <w:sz w:val="28"/>
          <w:szCs w:val="28"/>
        </w:rPr>
        <w:t>中小微企业可根据自身生产经营核算需要自行选择享受上述政策，当年度未选择享受的，以后年度不得再变更享受。</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98" w:name="_Toc1049"/>
      <w:bookmarkStart w:id="99" w:name="_Toc3049"/>
      <w:bookmarkStart w:id="100" w:name="_Toc3931"/>
      <w:bookmarkStart w:id="101" w:name="_Toc19025"/>
      <w:bookmarkStart w:id="102" w:name="_Toc19945"/>
      <w:bookmarkStart w:id="103" w:name="_Toc15538"/>
      <w:bookmarkStart w:id="104" w:name="_Toc13767"/>
      <w:r>
        <w:rPr>
          <w:rFonts w:hint="eastAsia" w:asciiTheme="minorEastAsia" w:hAnsiTheme="minorEastAsia" w:eastAsiaTheme="minorEastAsia" w:cstheme="minorEastAsia"/>
          <w:b/>
          <w:color w:val="000000"/>
          <w:sz w:val="28"/>
          <w:szCs w:val="28"/>
        </w:rPr>
        <w:t>【政策依据】</w:t>
      </w:r>
      <w:bookmarkEnd w:id="98"/>
      <w:bookmarkEnd w:id="99"/>
      <w:bookmarkEnd w:id="100"/>
      <w:bookmarkEnd w:id="101"/>
      <w:bookmarkEnd w:id="102"/>
      <w:bookmarkEnd w:id="103"/>
      <w:bookmarkEnd w:id="104"/>
    </w:p>
    <w:p>
      <w:pPr>
        <w:keepNext w:val="0"/>
        <w:keepLines w:val="0"/>
        <w:pageBreakBefore w:val="0"/>
        <w:widowControl w:val="0"/>
        <w:kinsoku/>
        <w:wordWrap/>
        <w:overflowPunct/>
        <w:topLinePunct w:val="0"/>
        <w:bidi w:val="0"/>
        <w:adjustRightInd/>
        <w:snapToGrid/>
        <w:spacing w:line="600" w:lineRule="exact"/>
        <w:ind w:firstLine="280" w:firstLineChars="100"/>
        <w:jc w:val="both"/>
        <w:textAlignment w:val="auto"/>
        <w:outlineLvl w:val="2"/>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color w:val="000000"/>
          <w:sz w:val="28"/>
          <w:szCs w:val="28"/>
        </w:rPr>
        <w:t>《财政部 税务总局关于中小微企业设备器具所得税税前扣除有关政策的公告</w:t>
      </w:r>
      <w:r>
        <w:rPr>
          <w:rFonts w:hint="eastAsia" w:asciiTheme="minorEastAsia" w:hAnsiTheme="minorEastAsia" w:eastAsiaTheme="minorEastAsia" w:cstheme="minorEastAsia"/>
          <w:color w:val="000000"/>
          <w:sz w:val="28"/>
          <w:szCs w:val="28"/>
          <w:lang w:eastAsia="zh-CN"/>
        </w:rPr>
        <w:t>》</w:t>
      </w:r>
      <w:r>
        <w:rPr>
          <w:rFonts w:hint="eastAsia" w:asciiTheme="minorEastAsia" w:hAnsiTheme="minorEastAsia" w:eastAsiaTheme="minorEastAsia" w:cstheme="minorEastAsia"/>
          <w:color w:val="000000"/>
          <w:sz w:val="28"/>
          <w:szCs w:val="28"/>
        </w:rPr>
        <w:t>（2022年第12号）</w:t>
      </w:r>
    </w:p>
    <w:p>
      <w:pPr>
        <w:pStyle w:val="4"/>
        <w:keepNext w:val="0"/>
        <w:keepLines w:val="0"/>
        <w:pageBreakBefore w:val="0"/>
        <w:widowControl w:val="0"/>
        <w:tabs>
          <w:tab w:val="left" w:pos="484"/>
        </w:tabs>
        <w:kinsoku/>
        <w:wordWrap/>
        <w:overflowPunct/>
        <w:topLinePunct w:val="0"/>
        <w:bidi w:val="0"/>
        <w:adjustRightInd/>
        <w:snapToGrid/>
        <w:spacing w:line="600" w:lineRule="exact"/>
        <w:ind w:left="0" w:leftChars="0" w:firstLine="562" w:firstLineChars="200"/>
        <w:jc w:val="both"/>
        <w:textAlignment w:val="auto"/>
        <w:rPr>
          <w:rFonts w:hint="eastAsia" w:asciiTheme="minorEastAsia" w:hAnsiTheme="minorEastAsia" w:eastAsiaTheme="minorEastAsia" w:cstheme="minorEastAsia"/>
          <w:b/>
          <w:color w:val="000000"/>
          <w:sz w:val="28"/>
          <w:szCs w:val="28"/>
        </w:rPr>
      </w:pPr>
      <w:bookmarkStart w:id="105" w:name="_Toc6758"/>
      <w:bookmarkStart w:id="106" w:name="_Toc1412029356"/>
      <w:bookmarkStart w:id="107" w:name="_Toc2023561237"/>
      <w:bookmarkStart w:id="108" w:name="_Toc3963"/>
      <w:bookmarkStart w:id="109" w:name="_Toc433518548"/>
      <w:bookmarkStart w:id="110" w:name="_Toc41675605"/>
      <w:bookmarkStart w:id="111" w:name="_Toc10957"/>
      <w:r>
        <w:rPr>
          <w:rFonts w:hint="eastAsia" w:asciiTheme="minorEastAsia" w:hAnsiTheme="minorEastAsia" w:eastAsiaTheme="minorEastAsia" w:cstheme="minorEastAsia"/>
          <w:color w:val="000000"/>
          <w:sz w:val="28"/>
          <w:szCs w:val="28"/>
          <w:lang w:val="en-US" w:eastAsia="zh-CN"/>
        </w:rPr>
        <w:t>（四）</w:t>
      </w:r>
      <w:r>
        <w:rPr>
          <w:rFonts w:hint="eastAsia" w:asciiTheme="minorEastAsia" w:hAnsiTheme="minorEastAsia" w:eastAsiaTheme="minorEastAsia" w:cstheme="minorEastAsia"/>
          <w:color w:val="000000"/>
          <w:sz w:val="28"/>
          <w:szCs w:val="28"/>
          <w:lang w:val="en-US"/>
        </w:rPr>
        <w:t>航空和铁路运输企业分支机构暂停预缴增值税</w:t>
      </w:r>
      <w:r>
        <w:rPr>
          <w:rFonts w:hint="eastAsia" w:asciiTheme="minorEastAsia" w:hAnsiTheme="minorEastAsia" w:eastAsiaTheme="minorEastAsia" w:cstheme="minorEastAsia"/>
          <w:color w:val="000000"/>
          <w:sz w:val="28"/>
          <w:szCs w:val="28"/>
          <w:lang w:val="en-US" w:eastAsia="zh-CN"/>
        </w:rPr>
        <w:t>政策</w:t>
      </w:r>
      <w:bookmarkEnd w:id="105"/>
      <w:bookmarkEnd w:id="106"/>
      <w:bookmarkEnd w:id="107"/>
      <w:bookmarkEnd w:id="108"/>
      <w:bookmarkEnd w:id="109"/>
      <w:bookmarkEnd w:id="110"/>
    </w:p>
    <w:p>
      <w:pPr>
        <w:keepNext w:val="0"/>
        <w:keepLines w:val="0"/>
        <w:pageBreakBefore w:val="0"/>
        <w:widowControl w:val="0"/>
        <w:kinsoku/>
        <w:wordWrap/>
        <w:overflowPunct/>
        <w:topLinePunct w:val="0"/>
        <w:bidi w:val="0"/>
        <w:adjustRightInd/>
        <w:snapToGrid/>
        <w:spacing w:line="600" w:lineRule="exact"/>
        <w:ind w:left="522"/>
        <w:jc w:val="both"/>
        <w:textAlignment w:val="auto"/>
        <w:outlineLvl w:val="2"/>
        <w:rPr>
          <w:rFonts w:hint="eastAsia" w:asciiTheme="minorEastAsia" w:hAnsiTheme="minorEastAsia" w:eastAsiaTheme="minorEastAsia" w:cstheme="minorEastAsia"/>
          <w:b/>
          <w:color w:val="000000"/>
          <w:sz w:val="28"/>
          <w:szCs w:val="28"/>
        </w:rPr>
      </w:pPr>
      <w:bookmarkStart w:id="112" w:name="_Toc23263"/>
      <w:bookmarkStart w:id="113" w:name="_Toc4377"/>
      <w:bookmarkStart w:id="114" w:name="_Toc28464"/>
      <w:bookmarkStart w:id="115" w:name="_Toc22260"/>
      <w:bookmarkStart w:id="116" w:name="_Toc10596"/>
      <w:bookmarkStart w:id="117" w:name="_Toc21922"/>
      <w:bookmarkStart w:id="118" w:name="_Toc26020"/>
      <w:r>
        <w:rPr>
          <w:rFonts w:hint="eastAsia" w:asciiTheme="minorEastAsia" w:hAnsiTheme="minorEastAsia" w:eastAsiaTheme="minorEastAsia" w:cstheme="minorEastAsia"/>
          <w:b/>
          <w:color w:val="000000"/>
          <w:sz w:val="28"/>
          <w:szCs w:val="28"/>
        </w:rPr>
        <w:t>【享受主体】</w:t>
      </w:r>
      <w:bookmarkEnd w:id="112"/>
      <w:bookmarkEnd w:id="113"/>
      <w:bookmarkEnd w:id="114"/>
      <w:bookmarkEnd w:id="115"/>
      <w:bookmarkEnd w:id="116"/>
      <w:bookmarkEnd w:id="117"/>
      <w:bookmarkEnd w:id="118"/>
    </w:p>
    <w:p>
      <w:pPr>
        <w:pStyle w:val="8"/>
        <w:keepNext w:val="0"/>
        <w:keepLines w:val="0"/>
        <w:pageBreakBefore w:val="0"/>
        <w:widowControl w:val="0"/>
        <w:kinsoku/>
        <w:wordWrap/>
        <w:overflowPunct/>
        <w:topLinePunct w:val="0"/>
        <w:bidi w:val="0"/>
        <w:adjustRightInd/>
        <w:snapToGrid/>
        <w:spacing w:line="600" w:lineRule="exact"/>
        <w:ind w:left="522"/>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航空和铁路运输企业分支机构</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119" w:name="_Toc18565"/>
      <w:bookmarkStart w:id="120" w:name="_Toc16825"/>
      <w:bookmarkStart w:id="121" w:name="_Toc28466"/>
      <w:bookmarkStart w:id="122" w:name="_Toc23672"/>
      <w:bookmarkStart w:id="123" w:name="_Toc4813"/>
      <w:bookmarkStart w:id="124" w:name="_Toc4027"/>
      <w:bookmarkStart w:id="125" w:name="_Toc16073"/>
      <w:r>
        <w:rPr>
          <w:rFonts w:hint="eastAsia" w:asciiTheme="minorEastAsia" w:hAnsiTheme="minorEastAsia" w:eastAsiaTheme="minorEastAsia" w:cstheme="minorEastAsia"/>
          <w:b/>
          <w:color w:val="000000"/>
          <w:sz w:val="28"/>
          <w:szCs w:val="28"/>
        </w:rPr>
        <w:t>【优惠内容】</w:t>
      </w:r>
      <w:bookmarkEnd w:id="119"/>
      <w:bookmarkEnd w:id="120"/>
      <w:bookmarkEnd w:id="121"/>
      <w:bookmarkEnd w:id="122"/>
      <w:bookmarkEnd w:id="123"/>
      <w:bookmarkEnd w:id="124"/>
      <w:bookmarkEnd w:id="125"/>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color w:val="000000"/>
          <w:sz w:val="28"/>
          <w:szCs w:val="28"/>
        </w:rPr>
        <w:t>自2022年1月1日至2022年12月31日，航空和铁路运输企业分支机构暂停预缴增值税。</w:t>
      </w:r>
      <w:bookmarkStart w:id="126" w:name="_Toc13642"/>
      <w:bookmarkStart w:id="127" w:name="_Toc6042"/>
      <w:bookmarkStart w:id="128" w:name="_Toc16089"/>
      <w:bookmarkStart w:id="129" w:name="_Toc26051"/>
      <w:bookmarkStart w:id="130" w:name="_Toc30381"/>
      <w:bookmarkStart w:id="131" w:name="_Toc3927"/>
      <w:bookmarkStart w:id="132" w:name="_Toc25699"/>
      <w:r>
        <w:rPr>
          <w:rFonts w:hint="eastAsia" w:asciiTheme="minorEastAsia" w:hAnsiTheme="minorEastAsia" w:eastAsiaTheme="minorEastAsia" w:cstheme="minorEastAsia"/>
          <w:color w:val="000000"/>
          <w:sz w:val="28"/>
          <w:szCs w:val="28"/>
        </w:rPr>
        <w:t>2022年2月纳税申报期至</w:t>
      </w:r>
      <w:r>
        <w:rPr>
          <w:rFonts w:hint="eastAsia" w:asciiTheme="minorEastAsia" w:hAnsiTheme="minorEastAsia" w:eastAsiaTheme="minorEastAsia" w:cstheme="minorEastAsia"/>
          <w:color w:val="000000"/>
          <w:spacing w:val="1"/>
          <w:sz w:val="28"/>
          <w:szCs w:val="28"/>
        </w:rPr>
        <w:t>《财政部 税务总局关于促进服务业领域困难行业纾困发展有关增值税政策的公告》（2022年第11号）</w:t>
      </w:r>
      <w:r>
        <w:rPr>
          <w:rFonts w:hint="eastAsia" w:asciiTheme="minorEastAsia" w:hAnsiTheme="minorEastAsia" w:eastAsiaTheme="minorEastAsia" w:cstheme="minorEastAsia"/>
          <w:color w:val="000000"/>
          <w:sz w:val="28"/>
          <w:szCs w:val="28"/>
        </w:rPr>
        <w:t>发布之日</w:t>
      </w:r>
      <w:r>
        <w:rPr>
          <w:rFonts w:hint="eastAsia" w:asciiTheme="minorEastAsia" w:hAnsiTheme="minorEastAsia" w:eastAsiaTheme="minorEastAsia" w:cstheme="minorEastAsia"/>
          <w:color w:val="000000"/>
          <w:sz w:val="28"/>
          <w:szCs w:val="28"/>
          <w:lang w:eastAsia="zh-CN"/>
        </w:rPr>
        <w:t>（</w:t>
      </w:r>
      <w:r>
        <w:rPr>
          <w:rFonts w:hint="eastAsia" w:asciiTheme="minorEastAsia" w:hAnsiTheme="minorEastAsia" w:eastAsiaTheme="minorEastAsia" w:cstheme="minorEastAsia"/>
          <w:color w:val="000000"/>
          <w:sz w:val="28"/>
          <w:szCs w:val="28"/>
          <w:lang w:val="en-US" w:eastAsia="zh-CN"/>
        </w:rPr>
        <w:t>2022年3月3日</w:t>
      </w:r>
      <w:r>
        <w:rPr>
          <w:rFonts w:hint="eastAsia" w:asciiTheme="minorEastAsia" w:hAnsiTheme="minorEastAsia" w:eastAsiaTheme="minorEastAsia" w:cstheme="minorEastAsia"/>
          <w:color w:val="000000"/>
          <w:sz w:val="28"/>
          <w:szCs w:val="28"/>
          <w:lang w:eastAsia="zh-CN"/>
        </w:rPr>
        <w:t>）</w:t>
      </w:r>
      <w:r>
        <w:rPr>
          <w:rFonts w:hint="eastAsia" w:asciiTheme="minorEastAsia" w:hAnsiTheme="minorEastAsia" w:eastAsiaTheme="minorEastAsia" w:cstheme="minorEastAsia"/>
          <w:color w:val="000000"/>
          <w:sz w:val="28"/>
          <w:szCs w:val="28"/>
        </w:rPr>
        <w:t>已预缴的增值税予以退还。</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bookmarkEnd w:id="126"/>
      <w:bookmarkEnd w:id="127"/>
      <w:bookmarkEnd w:id="128"/>
      <w:bookmarkEnd w:id="129"/>
      <w:bookmarkEnd w:id="130"/>
      <w:bookmarkEnd w:id="131"/>
      <w:bookmarkEnd w:id="132"/>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rPr>
        <w:t>航空和铁路运输企业</w:t>
      </w:r>
      <w:r>
        <w:rPr>
          <w:rFonts w:hint="eastAsia" w:asciiTheme="minorEastAsia" w:hAnsiTheme="minorEastAsia" w:eastAsiaTheme="minorEastAsia" w:cstheme="minorEastAsia"/>
          <w:color w:val="000000"/>
          <w:sz w:val="28"/>
          <w:szCs w:val="28"/>
          <w:lang w:val="en-US" w:eastAsia="zh-CN"/>
        </w:rPr>
        <w:t>的</w:t>
      </w:r>
      <w:r>
        <w:rPr>
          <w:rFonts w:hint="eastAsia" w:asciiTheme="minorEastAsia" w:hAnsiTheme="minorEastAsia" w:eastAsiaTheme="minorEastAsia" w:cstheme="minorEastAsia"/>
          <w:color w:val="000000"/>
          <w:sz w:val="28"/>
          <w:szCs w:val="28"/>
          <w:lang w:val="en-US"/>
        </w:rPr>
        <w:t>分支机构。</w:t>
      </w:r>
    </w:p>
    <w:p>
      <w:pPr>
        <w:keepNext w:val="0"/>
        <w:keepLines w:val="0"/>
        <w:pageBreakBefore w:val="0"/>
        <w:widowControl w:val="0"/>
        <w:kinsoku/>
        <w:wordWrap/>
        <w:overflowPunct/>
        <w:topLinePunct w:val="0"/>
        <w:bidi w:val="0"/>
        <w:adjustRightInd/>
        <w:snapToGrid w:val="0"/>
        <w:spacing w:line="360" w:lineRule="auto"/>
        <w:ind w:left="520"/>
        <w:jc w:val="both"/>
        <w:textAlignment w:val="auto"/>
        <w:outlineLvl w:val="2"/>
        <w:rPr>
          <w:rFonts w:hint="eastAsia" w:asciiTheme="minorEastAsia" w:hAnsiTheme="minorEastAsia" w:eastAsiaTheme="minorEastAsia" w:cstheme="minorEastAsia"/>
          <w:b/>
          <w:color w:val="000000"/>
          <w:sz w:val="28"/>
          <w:szCs w:val="28"/>
        </w:rPr>
      </w:pPr>
      <w:bookmarkStart w:id="133" w:name="_Toc3516"/>
      <w:bookmarkStart w:id="134" w:name="_Toc27940"/>
      <w:bookmarkStart w:id="135" w:name="_Toc3974"/>
      <w:bookmarkStart w:id="136" w:name="_Toc21886"/>
      <w:bookmarkStart w:id="137" w:name="_Toc17070"/>
      <w:bookmarkStart w:id="138" w:name="_Toc15110"/>
      <w:bookmarkStart w:id="139" w:name="_Toc31104"/>
      <w:r>
        <w:rPr>
          <w:rFonts w:hint="eastAsia" w:asciiTheme="minorEastAsia" w:hAnsiTheme="minorEastAsia" w:eastAsiaTheme="minorEastAsia" w:cstheme="minorEastAsia"/>
          <w:b/>
          <w:color w:val="000000"/>
          <w:sz w:val="28"/>
          <w:szCs w:val="28"/>
        </w:rPr>
        <w:t>【政策依据】</w:t>
      </w:r>
      <w:bookmarkEnd w:id="133"/>
      <w:bookmarkEnd w:id="134"/>
      <w:bookmarkEnd w:id="135"/>
      <w:bookmarkEnd w:id="136"/>
      <w:bookmarkEnd w:id="137"/>
      <w:bookmarkEnd w:id="138"/>
      <w:bookmarkEnd w:id="139"/>
    </w:p>
    <w:p>
      <w:pPr>
        <w:autoSpaceDE/>
        <w:autoSpaceDN/>
        <w:snapToGrid w:val="0"/>
        <w:spacing w:line="360" w:lineRule="auto"/>
        <w:ind w:firstLine="564" w:firstLineChars="200"/>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pacing w:val="1"/>
          <w:sz w:val="28"/>
          <w:szCs w:val="28"/>
        </w:rPr>
        <w:t>《财政部 税务总局关于促进服务业领域困难行业纾困发展有关增值税政策的公告》（2022年第11号）</w:t>
      </w:r>
    </w:p>
    <w:p>
      <w:pPr>
        <w:pStyle w:val="4"/>
        <w:keepNext w:val="0"/>
        <w:keepLines w:val="0"/>
        <w:pageBreakBefore w:val="0"/>
        <w:widowControl w:val="0"/>
        <w:tabs>
          <w:tab w:val="left" w:pos="484"/>
        </w:tabs>
        <w:kinsoku/>
        <w:wordWrap/>
        <w:overflowPunct/>
        <w:topLinePunct w:val="0"/>
        <w:bidi w:val="0"/>
        <w:adjustRightInd/>
        <w:snapToGrid w:val="0"/>
        <w:spacing w:line="360" w:lineRule="auto"/>
        <w:ind w:left="0" w:firstLine="562" w:firstLineChars="200"/>
        <w:jc w:val="both"/>
        <w:textAlignment w:val="auto"/>
        <w:rPr>
          <w:rFonts w:hint="eastAsia" w:asciiTheme="minorEastAsia" w:hAnsiTheme="minorEastAsia" w:eastAsiaTheme="minorEastAsia" w:cstheme="minorEastAsia"/>
          <w:color w:val="000000"/>
          <w:sz w:val="28"/>
          <w:szCs w:val="28"/>
          <w:lang w:val="en-US"/>
        </w:rPr>
      </w:pPr>
      <w:bookmarkStart w:id="140" w:name="_Toc1317231506"/>
      <w:bookmarkStart w:id="141" w:name="_Toc1978190915"/>
      <w:bookmarkStart w:id="142" w:name="_Toc288264426"/>
      <w:bookmarkStart w:id="143" w:name="_Toc22640"/>
      <w:bookmarkStart w:id="144" w:name="_Toc1748614442"/>
      <w:bookmarkStart w:id="145" w:name="_Toc10847"/>
      <w:r>
        <w:rPr>
          <w:rFonts w:hint="eastAsia" w:asciiTheme="minorEastAsia" w:hAnsiTheme="minorEastAsia" w:eastAsiaTheme="minorEastAsia" w:cstheme="minorEastAsia"/>
          <w:color w:val="000000"/>
          <w:sz w:val="28"/>
          <w:szCs w:val="28"/>
          <w:lang w:val="en-US" w:eastAsia="zh-CN"/>
        </w:rPr>
        <w:t>（五）</w:t>
      </w:r>
      <w:r>
        <w:rPr>
          <w:rFonts w:hint="eastAsia" w:asciiTheme="minorEastAsia" w:hAnsiTheme="minorEastAsia" w:eastAsiaTheme="minorEastAsia" w:cstheme="minorEastAsia"/>
          <w:color w:val="000000"/>
          <w:sz w:val="28"/>
          <w:szCs w:val="28"/>
          <w:lang w:val="en-US"/>
        </w:rPr>
        <w:t>公共交通运输服务收入免征增值税</w:t>
      </w:r>
      <w:r>
        <w:rPr>
          <w:rFonts w:hint="eastAsia" w:asciiTheme="minorEastAsia" w:hAnsiTheme="minorEastAsia" w:eastAsiaTheme="minorEastAsia" w:cstheme="minorEastAsia"/>
          <w:color w:val="000000"/>
          <w:sz w:val="28"/>
          <w:szCs w:val="28"/>
          <w:lang w:val="en-US" w:eastAsia="zh-CN"/>
        </w:rPr>
        <w:t>政策</w:t>
      </w:r>
      <w:bookmarkEnd w:id="140"/>
      <w:bookmarkEnd w:id="141"/>
      <w:bookmarkEnd w:id="142"/>
      <w:bookmarkEnd w:id="143"/>
      <w:bookmarkEnd w:id="144"/>
      <w:bookmarkEnd w:id="145"/>
    </w:p>
    <w:p>
      <w:pPr>
        <w:keepNext w:val="0"/>
        <w:keepLines w:val="0"/>
        <w:pageBreakBefore w:val="0"/>
        <w:widowControl w:val="0"/>
        <w:kinsoku/>
        <w:wordWrap/>
        <w:overflowPunct/>
        <w:topLinePunct w:val="0"/>
        <w:bidi w:val="0"/>
        <w:adjustRightInd/>
        <w:snapToGrid w:val="0"/>
        <w:spacing w:line="360" w:lineRule="auto"/>
        <w:ind w:left="520"/>
        <w:jc w:val="both"/>
        <w:textAlignment w:val="auto"/>
        <w:outlineLvl w:val="2"/>
        <w:rPr>
          <w:rFonts w:hint="eastAsia" w:asciiTheme="minorEastAsia" w:hAnsiTheme="minorEastAsia" w:eastAsiaTheme="minorEastAsia" w:cstheme="minorEastAsia"/>
          <w:b/>
          <w:color w:val="000000"/>
          <w:sz w:val="28"/>
          <w:szCs w:val="28"/>
        </w:rPr>
      </w:pPr>
      <w:bookmarkStart w:id="146" w:name="_Toc8818"/>
      <w:bookmarkStart w:id="147" w:name="_Toc28815"/>
      <w:bookmarkStart w:id="148" w:name="_Toc19107"/>
      <w:bookmarkStart w:id="149" w:name="_Toc3539"/>
      <w:bookmarkStart w:id="150" w:name="_Toc30442"/>
      <w:bookmarkStart w:id="151" w:name="_Toc23490"/>
      <w:bookmarkStart w:id="152" w:name="_Toc30232"/>
      <w:r>
        <w:rPr>
          <w:rFonts w:hint="eastAsia" w:asciiTheme="minorEastAsia" w:hAnsiTheme="minorEastAsia" w:eastAsiaTheme="minorEastAsia" w:cstheme="minorEastAsia"/>
          <w:b/>
          <w:color w:val="000000"/>
          <w:sz w:val="28"/>
          <w:szCs w:val="28"/>
        </w:rPr>
        <w:t>【享受主体】</w:t>
      </w:r>
      <w:bookmarkEnd w:id="146"/>
      <w:bookmarkEnd w:id="147"/>
      <w:bookmarkEnd w:id="148"/>
      <w:bookmarkEnd w:id="149"/>
      <w:bookmarkEnd w:id="150"/>
      <w:bookmarkEnd w:id="151"/>
      <w:bookmarkEnd w:id="152"/>
    </w:p>
    <w:p>
      <w:pPr>
        <w:pStyle w:val="8"/>
        <w:keepNext w:val="0"/>
        <w:keepLines w:val="0"/>
        <w:pageBreakBefore w:val="0"/>
        <w:widowControl w:val="0"/>
        <w:kinsoku/>
        <w:wordWrap/>
        <w:overflowPunct/>
        <w:topLinePunct w:val="0"/>
        <w:bidi w:val="0"/>
        <w:adjustRightInd/>
        <w:snapToGrid w:val="0"/>
        <w:spacing w:line="360" w:lineRule="auto"/>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rPr>
        <w:t>提供公共交通运输服务的纳税人</w:t>
      </w:r>
    </w:p>
    <w:p>
      <w:pPr>
        <w:keepNext w:val="0"/>
        <w:keepLines w:val="0"/>
        <w:pageBreakBefore w:val="0"/>
        <w:widowControl w:val="0"/>
        <w:kinsoku/>
        <w:wordWrap/>
        <w:overflowPunct/>
        <w:topLinePunct w:val="0"/>
        <w:bidi w:val="0"/>
        <w:adjustRightInd/>
        <w:snapToGrid w:val="0"/>
        <w:spacing w:line="360" w:lineRule="auto"/>
        <w:ind w:left="520"/>
        <w:jc w:val="both"/>
        <w:textAlignment w:val="auto"/>
        <w:outlineLvl w:val="2"/>
        <w:rPr>
          <w:rFonts w:hint="eastAsia" w:asciiTheme="minorEastAsia" w:hAnsiTheme="minorEastAsia" w:eastAsiaTheme="minorEastAsia" w:cstheme="minorEastAsia"/>
          <w:b/>
          <w:color w:val="000000"/>
          <w:sz w:val="28"/>
          <w:szCs w:val="28"/>
        </w:rPr>
      </w:pPr>
      <w:bookmarkStart w:id="153" w:name="_Toc14417"/>
      <w:bookmarkStart w:id="154" w:name="_Toc29080"/>
      <w:bookmarkStart w:id="155" w:name="_Toc28797"/>
      <w:bookmarkStart w:id="156" w:name="_Toc16221"/>
      <w:bookmarkStart w:id="157" w:name="_Toc7132"/>
      <w:bookmarkStart w:id="158" w:name="_Toc21750"/>
      <w:bookmarkStart w:id="159" w:name="_Toc5878"/>
      <w:r>
        <w:rPr>
          <w:rFonts w:hint="eastAsia" w:asciiTheme="minorEastAsia" w:hAnsiTheme="minorEastAsia" w:eastAsiaTheme="minorEastAsia" w:cstheme="minorEastAsia"/>
          <w:b/>
          <w:color w:val="000000"/>
          <w:sz w:val="28"/>
          <w:szCs w:val="28"/>
        </w:rPr>
        <w:t>【优惠内容】</w:t>
      </w:r>
      <w:bookmarkEnd w:id="153"/>
      <w:bookmarkEnd w:id="154"/>
      <w:bookmarkEnd w:id="155"/>
      <w:bookmarkEnd w:id="156"/>
      <w:bookmarkEnd w:id="157"/>
      <w:bookmarkEnd w:id="158"/>
      <w:bookmarkEnd w:id="159"/>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自2022年1月1日至2022年12月31日，对纳税人提供公共交通运输服务取得的收入，免征增值税。</w:t>
      </w:r>
      <w:r>
        <w:rPr>
          <w:rFonts w:hint="eastAsia" w:asciiTheme="minorEastAsia" w:hAnsiTheme="minorEastAsia" w:eastAsiaTheme="minorEastAsia" w:cstheme="minorEastAsia"/>
          <w:color w:val="000000"/>
          <w:sz w:val="28"/>
          <w:szCs w:val="28"/>
          <w:lang w:val="en-US"/>
        </w:rPr>
        <w:t>《财政部 税务总局关于促进服务业领域困难行业纾困发展有关增值税政策的公告》（2022年第11号）</w:t>
      </w:r>
      <w:r>
        <w:rPr>
          <w:rFonts w:hint="eastAsia" w:asciiTheme="minorEastAsia" w:hAnsiTheme="minorEastAsia" w:eastAsiaTheme="minorEastAsia" w:cstheme="minorEastAsia"/>
          <w:color w:val="000000"/>
          <w:sz w:val="28"/>
          <w:szCs w:val="28"/>
        </w:rPr>
        <w:t>发布之前已征收入库的按规定应予免征的增值税税款，可抵减纳税人以后月份应缴纳的增值税税款或者办理税款退库。</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160" w:name="_Toc5691"/>
      <w:bookmarkStart w:id="161" w:name="_Toc1100"/>
      <w:bookmarkStart w:id="162" w:name="_Toc5848"/>
      <w:bookmarkStart w:id="163" w:name="_Toc13348"/>
      <w:bookmarkStart w:id="164" w:name="_Toc21590"/>
      <w:bookmarkStart w:id="165" w:name="_Toc14538"/>
      <w:bookmarkStart w:id="166" w:name="_Toc17482"/>
      <w:r>
        <w:rPr>
          <w:rFonts w:hint="eastAsia" w:asciiTheme="minorEastAsia" w:hAnsiTheme="minorEastAsia" w:eastAsiaTheme="minorEastAsia" w:cstheme="minorEastAsia"/>
          <w:b/>
          <w:color w:val="000000"/>
          <w:sz w:val="28"/>
          <w:szCs w:val="28"/>
          <w:lang w:val="en-US"/>
        </w:rPr>
        <w:t>【享受条件】</w:t>
      </w:r>
      <w:bookmarkEnd w:id="160"/>
      <w:bookmarkEnd w:id="161"/>
      <w:bookmarkEnd w:id="162"/>
      <w:bookmarkEnd w:id="163"/>
      <w:bookmarkEnd w:id="164"/>
      <w:bookmarkEnd w:id="165"/>
      <w:bookmarkEnd w:id="166"/>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1.公共交通运输服务的具体范围，按照《营业税改征增值税试点有关事项的规定》（财税〔2016〕36号印发）执行。</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color w:val="000000"/>
          <w:sz w:val="28"/>
          <w:szCs w:val="28"/>
          <w:lang w:val="en-US"/>
        </w:rPr>
        <w:t>2.已向购买方开具增值税专用发票的，应将专用发票追回后方可办理免税。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167" w:name="_Toc9082"/>
      <w:bookmarkStart w:id="168" w:name="_Toc6742"/>
      <w:bookmarkStart w:id="169" w:name="_Toc21801"/>
      <w:bookmarkStart w:id="170" w:name="_Toc16854"/>
      <w:bookmarkStart w:id="171" w:name="_Toc28684"/>
      <w:bookmarkStart w:id="172" w:name="_Toc15984"/>
      <w:bookmarkStart w:id="173" w:name="_Toc20124"/>
      <w:r>
        <w:rPr>
          <w:rFonts w:hint="eastAsia" w:asciiTheme="minorEastAsia" w:hAnsiTheme="minorEastAsia" w:eastAsiaTheme="minorEastAsia" w:cstheme="minorEastAsia"/>
          <w:b/>
          <w:color w:val="000000"/>
          <w:sz w:val="28"/>
          <w:szCs w:val="28"/>
          <w:lang w:val="en-US"/>
        </w:rPr>
        <w:t>【政策依据】</w:t>
      </w:r>
      <w:bookmarkEnd w:id="167"/>
      <w:bookmarkEnd w:id="168"/>
      <w:bookmarkEnd w:id="169"/>
      <w:bookmarkEnd w:id="170"/>
      <w:bookmarkEnd w:id="171"/>
      <w:bookmarkEnd w:id="172"/>
      <w:bookmarkEnd w:id="173"/>
      <w:bookmarkStart w:id="174" w:name="_Toc99403215"/>
      <w:bookmarkStart w:id="175" w:name="_Toc99405828"/>
      <w:bookmarkStart w:id="176" w:name="_Toc99443567"/>
    </w:p>
    <w:bookmarkEnd w:id="174"/>
    <w:bookmarkEnd w:id="175"/>
    <w:bookmarkEnd w:id="176"/>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《财政部 税务总局关于促进服务业领域困难行业纾困发展有关增值税政策的公告》（2022年第11号）</w:t>
      </w:r>
      <w:bookmarkEnd w:id="111"/>
    </w:p>
    <w:p>
      <w:pPr>
        <w:pStyle w:val="4"/>
        <w:keepNext w:val="0"/>
        <w:keepLines w:val="0"/>
        <w:pageBreakBefore w:val="0"/>
        <w:widowControl w:val="0"/>
        <w:tabs>
          <w:tab w:val="left" w:pos="484"/>
        </w:tabs>
        <w:kinsoku/>
        <w:wordWrap/>
        <w:overflowPunct/>
        <w:topLinePunct w:val="0"/>
        <w:bidi w:val="0"/>
        <w:adjustRightInd/>
        <w:snapToGrid/>
        <w:spacing w:line="600" w:lineRule="exact"/>
        <w:ind w:left="0" w:firstLine="562" w:firstLineChars="200"/>
        <w:jc w:val="both"/>
        <w:textAlignment w:val="auto"/>
        <w:rPr>
          <w:rFonts w:hint="eastAsia" w:asciiTheme="minorEastAsia" w:hAnsiTheme="minorEastAsia" w:eastAsiaTheme="minorEastAsia" w:cstheme="minorEastAsia"/>
          <w:color w:val="000000"/>
          <w:sz w:val="28"/>
          <w:szCs w:val="28"/>
          <w:lang w:val="en-US"/>
        </w:rPr>
      </w:pPr>
      <w:bookmarkStart w:id="177" w:name="_Toc1104559262"/>
      <w:bookmarkStart w:id="178" w:name="_Toc19101"/>
      <w:bookmarkStart w:id="179" w:name="_Toc21901"/>
      <w:bookmarkStart w:id="180" w:name="_Toc1031083691"/>
      <w:bookmarkStart w:id="181" w:name="_Toc2072930448"/>
      <w:bookmarkStart w:id="182" w:name="_Toc904583677"/>
      <w:r>
        <w:rPr>
          <w:rFonts w:hint="eastAsia" w:asciiTheme="minorEastAsia" w:hAnsiTheme="minorEastAsia" w:eastAsiaTheme="minorEastAsia" w:cstheme="minorEastAsia"/>
          <w:color w:val="000000"/>
          <w:sz w:val="28"/>
          <w:szCs w:val="28"/>
          <w:lang w:val="en-US" w:eastAsia="zh-CN"/>
        </w:rPr>
        <w:t>（六）</w:t>
      </w:r>
      <w:r>
        <w:rPr>
          <w:rFonts w:hint="eastAsia" w:asciiTheme="minorEastAsia" w:hAnsiTheme="minorEastAsia" w:eastAsiaTheme="minorEastAsia" w:cstheme="minorEastAsia"/>
          <w:color w:val="000000"/>
          <w:sz w:val="28"/>
          <w:szCs w:val="28"/>
          <w:lang w:val="en-US"/>
        </w:rPr>
        <w:t>3岁以下婴幼儿照护个人所得税专项附加扣除</w:t>
      </w:r>
      <w:r>
        <w:rPr>
          <w:rFonts w:hint="eastAsia" w:asciiTheme="minorEastAsia" w:hAnsiTheme="minorEastAsia" w:eastAsiaTheme="minorEastAsia" w:cstheme="minorEastAsia"/>
          <w:color w:val="000000"/>
          <w:sz w:val="28"/>
          <w:szCs w:val="28"/>
          <w:lang w:val="en-US" w:eastAsia="zh-CN"/>
        </w:rPr>
        <w:t>政策</w:t>
      </w:r>
      <w:bookmarkEnd w:id="177"/>
      <w:bookmarkEnd w:id="178"/>
      <w:bookmarkEnd w:id="179"/>
      <w:bookmarkEnd w:id="180"/>
      <w:bookmarkEnd w:id="181"/>
      <w:bookmarkEnd w:id="182"/>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【享受主体】</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b w:val="0"/>
          <w:bCs/>
          <w:color w:val="000000"/>
          <w:sz w:val="28"/>
          <w:szCs w:val="28"/>
          <w:lang w:val="en-US" w:eastAsia="zh-CN"/>
        </w:rPr>
      </w:pPr>
      <w:r>
        <w:rPr>
          <w:rFonts w:hint="eastAsia" w:asciiTheme="minorEastAsia" w:hAnsiTheme="minorEastAsia" w:eastAsiaTheme="minorEastAsia" w:cstheme="minorEastAsia"/>
          <w:b w:val="0"/>
          <w:bCs/>
          <w:color w:val="000000"/>
          <w:sz w:val="28"/>
          <w:szCs w:val="28"/>
          <w:lang w:val="en-US" w:eastAsia="zh-CN"/>
        </w:rPr>
        <w:t>3岁以下婴幼儿的监护人，包括生父母、继父母、养父母，父母之外的其他人担任未成年人的监护人的，可以比照执行</w:t>
      </w:r>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Cs/>
          <w:color w:val="000000"/>
          <w:sz w:val="28"/>
          <w:szCs w:val="28"/>
          <w:lang w:val="en-US"/>
        </w:rPr>
      </w:pPr>
      <w:r>
        <w:rPr>
          <w:rFonts w:hint="eastAsia" w:asciiTheme="minorEastAsia" w:hAnsiTheme="minorEastAsia" w:eastAsiaTheme="minorEastAsia" w:cstheme="minorEastAsia"/>
          <w:b/>
          <w:color w:val="000000"/>
          <w:sz w:val="28"/>
          <w:szCs w:val="28"/>
          <w:lang w:val="en-US"/>
        </w:rPr>
        <w:t>【优惠内容】</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bCs/>
          <w:color w:val="000000"/>
          <w:sz w:val="28"/>
          <w:szCs w:val="28"/>
          <w:lang w:val="en-US" w:eastAsia="zh-CN"/>
        </w:rPr>
      </w:pPr>
      <w:r>
        <w:rPr>
          <w:rFonts w:hint="eastAsia" w:asciiTheme="minorEastAsia" w:hAnsiTheme="minorEastAsia" w:eastAsiaTheme="minorEastAsia" w:cstheme="minorEastAsia"/>
          <w:bCs/>
          <w:color w:val="000000"/>
          <w:sz w:val="28"/>
          <w:szCs w:val="28"/>
          <w:lang w:val="en-US" w:eastAsia="zh-CN"/>
        </w:rPr>
        <w:t>自2022年1月1日起实施3岁以下婴幼儿照护个人所得税专项附加扣除政策：</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bCs/>
          <w:color w:val="000000"/>
          <w:sz w:val="28"/>
          <w:szCs w:val="28"/>
          <w:lang w:val="en-US"/>
        </w:rPr>
      </w:pPr>
      <w:r>
        <w:rPr>
          <w:rFonts w:hint="eastAsia" w:asciiTheme="minorEastAsia" w:hAnsiTheme="minorEastAsia" w:eastAsiaTheme="minorEastAsia" w:cstheme="minorEastAsia"/>
          <w:bCs/>
          <w:color w:val="000000"/>
          <w:sz w:val="28"/>
          <w:szCs w:val="28"/>
          <w:lang w:val="en-US" w:eastAsia="zh-CN"/>
        </w:rPr>
        <w:t>1.</w:t>
      </w:r>
      <w:r>
        <w:rPr>
          <w:rFonts w:hint="eastAsia" w:asciiTheme="minorEastAsia" w:hAnsiTheme="minorEastAsia" w:eastAsiaTheme="minorEastAsia" w:cstheme="minorEastAsia"/>
          <w:bCs/>
          <w:color w:val="000000"/>
          <w:sz w:val="28"/>
          <w:szCs w:val="28"/>
          <w:lang w:val="en-US"/>
        </w:rPr>
        <w:t>纳税人照护3岁以下婴幼儿子女的相关支出，按照每个婴幼儿每月1000元的标准定额扣除。</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Cs/>
          <w:color w:val="000000"/>
          <w:sz w:val="28"/>
          <w:szCs w:val="28"/>
          <w:lang w:val="en-US" w:eastAsia="zh-CN"/>
        </w:rPr>
        <w:t>2.</w:t>
      </w:r>
      <w:r>
        <w:rPr>
          <w:rFonts w:hint="eastAsia" w:asciiTheme="minorEastAsia" w:hAnsiTheme="minorEastAsia" w:eastAsiaTheme="minorEastAsia" w:cstheme="minorEastAsia"/>
          <w:bCs/>
          <w:color w:val="000000"/>
          <w:sz w:val="28"/>
          <w:szCs w:val="28"/>
          <w:lang w:val="en-US"/>
        </w:rPr>
        <w:t>父母可以选择由其中一方按扣除标准的100%扣除，也可以选择由双方分别按扣除标准的50%扣除，具体扣除方式在一个纳税年度内不能变更。</w:t>
      </w:r>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【享受条件】</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bCs/>
          <w:color w:val="000000"/>
          <w:sz w:val="28"/>
          <w:szCs w:val="28"/>
          <w:lang w:val="en-US"/>
        </w:rPr>
      </w:pPr>
      <w:r>
        <w:rPr>
          <w:rFonts w:hint="eastAsia" w:asciiTheme="minorEastAsia" w:hAnsiTheme="minorEastAsia" w:eastAsiaTheme="minorEastAsia" w:cstheme="minorEastAsia"/>
          <w:bCs/>
          <w:color w:val="000000"/>
          <w:sz w:val="28"/>
          <w:szCs w:val="28"/>
          <w:lang w:val="en-US"/>
        </w:rPr>
        <w:t>3岁以下婴幼儿照护个人所得税专项附加扣除涉及的保障措施和其他事项，参照《个人所得税专项附加扣除暂行办法》</w:t>
      </w:r>
      <w:r>
        <w:rPr>
          <w:rFonts w:hint="eastAsia" w:asciiTheme="minorEastAsia" w:hAnsiTheme="minorEastAsia" w:eastAsiaTheme="minorEastAsia" w:cstheme="minorEastAsia"/>
          <w:bCs/>
          <w:color w:val="000000"/>
          <w:sz w:val="28"/>
          <w:szCs w:val="28"/>
          <w:lang w:val="en-US" w:eastAsia="zh-CN"/>
        </w:rPr>
        <w:t>（国发</w:t>
      </w:r>
      <w:r>
        <w:rPr>
          <w:rFonts w:hint="eastAsia" w:asciiTheme="minorEastAsia" w:hAnsiTheme="minorEastAsia" w:eastAsiaTheme="minorEastAsia" w:cstheme="minorEastAsia"/>
          <w:bCs/>
          <w:color w:val="000000"/>
          <w:sz w:val="28"/>
          <w:szCs w:val="28"/>
          <w:lang w:val="en-US"/>
        </w:rPr>
        <w:t>〔20</w:t>
      </w:r>
      <w:r>
        <w:rPr>
          <w:rFonts w:hint="eastAsia" w:asciiTheme="minorEastAsia" w:hAnsiTheme="minorEastAsia" w:eastAsiaTheme="minorEastAsia" w:cstheme="minorEastAsia"/>
          <w:bCs/>
          <w:color w:val="000000"/>
          <w:sz w:val="28"/>
          <w:szCs w:val="28"/>
          <w:lang w:val="en-US" w:eastAsia="zh-CN"/>
        </w:rPr>
        <w:t>18</w:t>
      </w:r>
      <w:r>
        <w:rPr>
          <w:rFonts w:hint="eastAsia" w:asciiTheme="minorEastAsia" w:hAnsiTheme="minorEastAsia" w:eastAsiaTheme="minorEastAsia" w:cstheme="minorEastAsia"/>
          <w:bCs/>
          <w:color w:val="000000"/>
          <w:sz w:val="28"/>
          <w:szCs w:val="28"/>
          <w:lang w:val="en-US"/>
        </w:rPr>
        <w:t>〕</w:t>
      </w:r>
      <w:r>
        <w:rPr>
          <w:rFonts w:hint="eastAsia" w:asciiTheme="minorEastAsia" w:hAnsiTheme="minorEastAsia" w:eastAsiaTheme="minorEastAsia" w:cstheme="minorEastAsia"/>
          <w:bCs/>
          <w:color w:val="000000"/>
          <w:sz w:val="28"/>
          <w:szCs w:val="28"/>
          <w:lang w:val="en-US" w:eastAsia="zh-CN"/>
        </w:rPr>
        <w:t>41</w:t>
      </w:r>
      <w:r>
        <w:rPr>
          <w:rFonts w:hint="eastAsia" w:asciiTheme="minorEastAsia" w:hAnsiTheme="minorEastAsia" w:eastAsiaTheme="minorEastAsia" w:cstheme="minorEastAsia"/>
          <w:bCs/>
          <w:color w:val="000000"/>
          <w:sz w:val="28"/>
          <w:szCs w:val="28"/>
          <w:lang w:val="en-US"/>
        </w:rPr>
        <w:t>号</w:t>
      </w:r>
      <w:r>
        <w:rPr>
          <w:rFonts w:hint="eastAsia" w:asciiTheme="minorEastAsia" w:hAnsiTheme="minorEastAsia" w:eastAsiaTheme="minorEastAsia" w:cstheme="minorEastAsia"/>
          <w:bCs/>
          <w:color w:val="000000"/>
          <w:sz w:val="28"/>
          <w:szCs w:val="28"/>
          <w:lang w:val="en-US" w:eastAsia="zh-CN"/>
        </w:rPr>
        <w:t>文件印发）</w:t>
      </w:r>
      <w:r>
        <w:rPr>
          <w:rFonts w:hint="eastAsia" w:asciiTheme="minorEastAsia" w:hAnsiTheme="minorEastAsia" w:eastAsiaTheme="minorEastAsia" w:cstheme="minorEastAsia"/>
          <w:bCs/>
          <w:color w:val="000000"/>
          <w:sz w:val="28"/>
          <w:szCs w:val="28"/>
          <w:lang w:val="en-US"/>
        </w:rPr>
        <w:t>有关规定执行。</w:t>
      </w:r>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【政策依据】</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bCs/>
          <w:color w:val="000000"/>
          <w:sz w:val="28"/>
          <w:szCs w:val="28"/>
          <w:lang w:val="en-US"/>
        </w:rPr>
        <w:t>《国务院关于设立</w:t>
      </w:r>
      <w:bookmarkStart w:id="183" w:name="_Hlk99399713"/>
      <w:r>
        <w:rPr>
          <w:rFonts w:hint="eastAsia" w:asciiTheme="minorEastAsia" w:hAnsiTheme="minorEastAsia" w:eastAsiaTheme="minorEastAsia" w:cstheme="minorEastAsia"/>
          <w:bCs/>
          <w:color w:val="000000"/>
          <w:sz w:val="28"/>
          <w:szCs w:val="28"/>
          <w:lang w:val="en-US"/>
        </w:rPr>
        <w:t>3岁以下婴幼儿照护个人所得税专项附加扣除</w:t>
      </w:r>
      <w:bookmarkEnd w:id="183"/>
      <w:r>
        <w:rPr>
          <w:rFonts w:hint="eastAsia" w:asciiTheme="minorEastAsia" w:hAnsiTheme="minorEastAsia" w:eastAsiaTheme="minorEastAsia" w:cstheme="minorEastAsia"/>
          <w:bCs/>
          <w:color w:val="000000"/>
          <w:sz w:val="28"/>
          <w:szCs w:val="28"/>
          <w:lang w:val="en-US"/>
        </w:rPr>
        <w:t>的通知》（国发〔2022〕8号）</w:t>
      </w:r>
    </w:p>
    <w:p>
      <w:pPr>
        <w:pStyle w:val="4"/>
        <w:keepNext w:val="0"/>
        <w:keepLines w:val="0"/>
        <w:pageBreakBefore w:val="0"/>
        <w:widowControl w:val="0"/>
        <w:tabs>
          <w:tab w:val="left" w:pos="484"/>
        </w:tabs>
        <w:kinsoku/>
        <w:wordWrap/>
        <w:overflowPunct/>
        <w:topLinePunct w:val="0"/>
        <w:bidi w:val="0"/>
        <w:adjustRightInd/>
        <w:snapToGrid/>
        <w:spacing w:line="600" w:lineRule="exact"/>
        <w:ind w:left="0" w:leftChars="0" w:firstLine="562" w:firstLineChars="200"/>
        <w:jc w:val="both"/>
        <w:textAlignment w:val="auto"/>
        <w:rPr>
          <w:rFonts w:hint="eastAsia" w:asciiTheme="minorEastAsia" w:hAnsiTheme="minorEastAsia" w:eastAsiaTheme="minorEastAsia" w:cstheme="minorEastAsia"/>
          <w:color w:val="000000"/>
          <w:sz w:val="28"/>
          <w:szCs w:val="28"/>
          <w:lang w:val="en-US"/>
        </w:rPr>
      </w:pPr>
      <w:bookmarkStart w:id="184" w:name="_Toc11478"/>
      <w:bookmarkStart w:id="185" w:name="_Toc1752042529"/>
      <w:bookmarkStart w:id="186" w:name="_Toc1661493682"/>
      <w:bookmarkStart w:id="187" w:name="_Toc18212"/>
      <w:bookmarkStart w:id="188" w:name="_Toc439582030"/>
      <w:bookmarkStart w:id="189" w:name="_Toc335541887"/>
      <w:r>
        <w:rPr>
          <w:rFonts w:hint="eastAsia" w:asciiTheme="minorEastAsia" w:hAnsiTheme="minorEastAsia" w:eastAsiaTheme="minorEastAsia" w:cstheme="minorEastAsia"/>
          <w:color w:val="000000"/>
          <w:sz w:val="28"/>
          <w:szCs w:val="28"/>
          <w:lang w:val="en-US" w:eastAsia="zh-CN"/>
        </w:rPr>
        <w:t>（七）</w:t>
      </w:r>
      <w:r>
        <w:rPr>
          <w:rFonts w:hint="eastAsia" w:asciiTheme="minorEastAsia" w:hAnsiTheme="minorEastAsia" w:eastAsiaTheme="minorEastAsia" w:cstheme="minorEastAsia"/>
          <w:color w:val="000000"/>
          <w:sz w:val="28"/>
          <w:szCs w:val="28"/>
          <w:lang w:val="en-US"/>
        </w:rPr>
        <w:t>增值税小规模纳税人免征增值税</w:t>
      </w:r>
      <w:r>
        <w:rPr>
          <w:rFonts w:hint="eastAsia" w:asciiTheme="minorEastAsia" w:hAnsiTheme="minorEastAsia" w:eastAsiaTheme="minorEastAsia" w:cstheme="minorEastAsia"/>
          <w:color w:val="000000"/>
          <w:sz w:val="28"/>
          <w:szCs w:val="28"/>
          <w:lang w:val="en-US" w:eastAsia="zh-CN"/>
        </w:rPr>
        <w:t>政策</w:t>
      </w:r>
      <w:bookmarkEnd w:id="184"/>
      <w:bookmarkEnd w:id="185"/>
      <w:bookmarkEnd w:id="186"/>
      <w:bookmarkEnd w:id="187"/>
      <w:bookmarkEnd w:id="188"/>
      <w:bookmarkEnd w:id="189"/>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【享受主体】</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bCs/>
          <w:color w:val="000000"/>
          <w:sz w:val="28"/>
          <w:szCs w:val="28"/>
          <w:lang w:val="en-US"/>
        </w:rPr>
      </w:pPr>
      <w:r>
        <w:rPr>
          <w:rFonts w:hint="eastAsia" w:asciiTheme="minorEastAsia" w:hAnsiTheme="minorEastAsia" w:eastAsiaTheme="minorEastAsia" w:cstheme="minorEastAsia"/>
          <w:bCs/>
          <w:color w:val="000000"/>
          <w:sz w:val="28"/>
          <w:szCs w:val="28"/>
          <w:lang w:val="en-US"/>
        </w:rPr>
        <w:t>增值税小规模纳税人</w:t>
      </w:r>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【优惠内容】</w:t>
      </w:r>
    </w:p>
    <w:p>
      <w:pPr>
        <w:spacing w:line="600" w:lineRule="exact"/>
        <w:ind w:firstLine="560" w:firstLineChars="200"/>
        <w:jc w:val="both"/>
        <w:outlineLvl w:val="2"/>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Cs/>
          <w:color w:val="000000"/>
          <w:sz w:val="28"/>
          <w:szCs w:val="28"/>
          <w:lang w:val="en-US"/>
        </w:rPr>
        <w:t>自2022年4月1日至2022年12月31日，增值税小规模纳税人适用3%征收率的应税销售收入，免征增值税；适用3%预征率的预缴增值税项目，暂停预缴增值税。</w:t>
      </w:r>
      <w:r>
        <w:rPr>
          <w:rFonts w:hint="eastAsia" w:asciiTheme="minorEastAsia" w:hAnsiTheme="minorEastAsia" w:eastAsiaTheme="minorEastAsia" w:cstheme="minorEastAsia"/>
          <w:bCs/>
          <w:color w:val="000000"/>
          <w:sz w:val="28"/>
          <w:szCs w:val="28"/>
          <w:lang w:val="en-US" w:eastAsia="zh-CN"/>
        </w:rPr>
        <w:t>（注：</w:t>
      </w:r>
      <w:r>
        <w:rPr>
          <w:rFonts w:hint="eastAsia" w:asciiTheme="minorEastAsia" w:hAnsiTheme="minorEastAsia" w:eastAsiaTheme="minorEastAsia" w:cstheme="minorEastAsia"/>
          <w:color w:val="000000"/>
          <w:sz w:val="28"/>
          <w:szCs w:val="28"/>
          <w:lang w:val="en-US"/>
        </w:rPr>
        <w:t>自2021年4月1日至2022年3月31日，增值税小规模纳税人适用3%征收率的应税销售收入，减按1%征收率征收增值税；适用3%预征率的预缴增值税项目，减按1%预征率预缴增值税。</w:t>
      </w:r>
      <w:r>
        <w:rPr>
          <w:rFonts w:hint="eastAsia" w:asciiTheme="minorEastAsia" w:hAnsiTheme="minorEastAsia" w:eastAsiaTheme="minorEastAsia" w:cstheme="minorEastAsia"/>
          <w:bCs/>
          <w:color w:val="000000"/>
          <w:sz w:val="28"/>
          <w:szCs w:val="28"/>
          <w:lang w:val="en-US" w:eastAsia="zh-CN"/>
        </w:rPr>
        <w:t>）</w:t>
      </w:r>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【享受条件】</w:t>
      </w:r>
    </w:p>
    <w:p>
      <w:pPr>
        <w:keepNext w:val="0"/>
        <w:keepLines w:val="0"/>
        <w:pageBreakBefore w:val="0"/>
        <w:widowControl w:val="0"/>
        <w:kinsoku/>
        <w:wordWrap/>
        <w:overflowPunct/>
        <w:topLinePunct w:val="0"/>
        <w:bidi w:val="0"/>
        <w:adjustRightInd/>
        <w:snapToGrid w:val="0"/>
        <w:spacing w:line="360" w:lineRule="auto"/>
        <w:ind w:firstLine="560"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Cs/>
          <w:color w:val="000000"/>
          <w:sz w:val="28"/>
          <w:szCs w:val="28"/>
          <w:lang w:val="en-US"/>
        </w:rPr>
        <w:t>增值税小规模纳税人适用3%征收率的应税销售收入</w:t>
      </w:r>
      <w:r>
        <w:rPr>
          <w:rFonts w:hint="eastAsia" w:asciiTheme="minorEastAsia" w:hAnsiTheme="minorEastAsia" w:eastAsiaTheme="minorEastAsia" w:cstheme="minorEastAsia"/>
          <w:bCs/>
          <w:color w:val="000000"/>
          <w:sz w:val="28"/>
          <w:szCs w:val="28"/>
          <w:lang w:val="en-US" w:eastAsia="zh-CN"/>
        </w:rPr>
        <w:t>；</w:t>
      </w:r>
      <w:r>
        <w:rPr>
          <w:rFonts w:hint="eastAsia" w:asciiTheme="minorEastAsia" w:hAnsiTheme="minorEastAsia" w:eastAsiaTheme="minorEastAsia" w:cstheme="minorEastAsia"/>
          <w:bCs/>
          <w:color w:val="000000"/>
          <w:sz w:val="28"/>
          <w:szCs w:val="28"/>
          <w:lang w:val="en-US"/>
        </w:rPr>
        <w:t>增值税小规模纳税人适用3%</w:t>
      </w:r>
      <w:r>
        <w:rPr>
          <w:rFonts w:hint="eastAsia" w:asciiTheme="minorEastAsia" w:hAnsiTheme="minorEastAsia" w:eastAsiaTheme="minorEastAsia" w:cstheme="minorEastAsia"/>
          <w:bCs/>
          <w:color w:val="000000"/>
          <w:sz w:val="28"/>
          <w:szCs w:val="28"/>
          <w:lang w:val="en-US" w:eastAsia="zh-CN"/>
        </w:rPr>
        <w:t>征收率、</w:t>
      </w:r>
      <w:r>
        <w:rPr>
          <w:rFonts w:hint="eastAsia" w:asciiTheme="minorEastAsia" w:hAnsiTheme="minorEastAsia" w:eastAsiaTheme="minorEastAsia" w:cstheme="minorEastAsia"/>
          <w:bCs/>
          <w:color w:val="000000"/>
          <w:sz w:val="28"/>
          <w:szCs w:val="28"/>
          <w:lang w:val="en-US"/>
        </w:rPr>
        <w:t>3%预征率的预缴增值税项目</w:t>
      </w:r>
    </w:p>
    <w:p>
      <w:pPr>
        <w:keepNext w:val="0"/>
        <w:keepLines w:val="0"/>
        <w:pageBreakBefore w:val="0"/>
        <w:widowControl w:val="0"/>
        <w:kinsoku/>
        <w:wordWrap/>
        <w:overflowPunct/>
        <w:topLinePunct w:val="0"/>
        <w:bidi w:val="0"/>
        <w:adjustRightInd/>
        <w:snapToGrid w:val="0"/>
        <w:spacing w:line="360" w:lineRule="auto"/>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【政策依据】</w:t>
      </w:r>
    </w:p>
    <w:p>
      <w:pPr>
        <w:snapToGrid w:val="0"/>
        <w:spacing w:line="360" w:lineRule="auto"/>
        <w:ind w:firstLine="560" w:firstLineChars="200"/>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bCs/>
          <w:color w:val="000000"/>
          <w:sz w:val="28"/>
          <w:szCs w:val="28"/>
          <w:lang w:val="en-US"/>
        </w:rPr>
        <w:t>《财政部 税务总局关于对增值税小规模纳税人免征增值税的公告》（2022年第15号）</w:t>
      </w:r>
    </w:p>
    <w:p>
      <w:pPr>
        <w:pStyle w:val="4"/>
        <w:keepNext w:val="0"/>
        <w:keepLines w:val="0"/>
        <w:pageBreakBefore w:val="0"/>
        <w:widowControl w:val="0"/>
        <w:tabs>
          <w:tab w:val="left" w:pos="484"/>
        </w:tabs>
        <w:kinsoku/>
        <w:wordWrap/>
        <w:overflowPunct/>
        <w:topLinePunct w:val="0"/>
        <w:bidi w:val="0"/>
        <w:adjustRightInd/>
        <w:snapToGrid w:val="0"/>
        <w:spacing w:line="360" w:lineRule="auto"/>
        <w:ind w:left="160" w:firstLine="562" w:firstLineChars="200"/>
        <w:jc w:val="both"/>
        <w:textAlignment w:val="auto"/>
        <w:rPr>
          <w:rFonts w:hint="eastAsia" w:asciiTheme="minorEastAsia" w:hAnsiTheme="minorEastAsia" w:eastAsiaTheme="minorEastAsia" w:cstheme="minorEastAsia"/>
          <w:sz w:val="28"/>
          <w:szCs w:val="28"/>
          <w:lang w:val="en-US"/>
        </w:rPr>
      </w:pPr>
      <w:bookmarkStart w:id="190" w:name="_Toc625427123"/>
      <w:bookmarkStart w:id="191" w:name="_Toc15424"/>
      <w:bookmarkStart w:id="192" w:name="_Toc20429"/>
      <w:bookmarkStart w:id="193" w:name="_Toc1353892473"/>
      <w:bookmarkStart w:id="194" w:name="_Toc771230475"/>
      <w:bookmarkStart w:id="195" w:name="_Toc82192859"/>
      <w:r>
        <w:rPr>
          <w:rFonts w:hint="eastAsia" w:asciiTheme="minorEastAsia" w:hAnsiTheme="minorEastAsia" w:eastAsiaTheme="minorEastAsia" w:cstheme="minorEastAsia"/>
          <w:color w:val="000000"/>
          <w:sz w:val="28"/>
          <w:szCs w:val="28"/>
          <w:lang w:val="en-US" w:eastAsia="zh-CN"/>
        </w:rPr>
        <w:t>（八）</w:t>
      </w:r>
      <w:r>
        <w:rPr>
          <w:rFonts w:hint="eastAsia" w:asciiTheme="minorEastAsia" w:hAnsiTheme="minorEastAsia" w:eastAsiaTheme="minorEastAsia" w:cstheme="minorEastAsia"/>
          <w:color w:val="000000"/>
          <w:sz w:val="28"/>
          <w:szCs w:val="28"/>
          <w:lang w:val="en-US"/>
        </w:rPr>
        <w:t>科技型中小企业研发费用加计扣除</w:t>
      </w:r>
      <w:r>
        <w:rPr>
          <w:rFonts w:hint="eastAsia" w:asciiTheme="minorEastAsia" w:hAnsiTheme="minorEastAsia" w:eastAsiaTheme="minorEastAsia" w:cstheme="minorEastAsia"/>
          <w:color w:val="000000"/>
          <w:sz w:val="28"/>
          <w:szCs w:val="28"/>
          <w:lang w:val="en-US" w:eastAsia="zh-CN"/>
        </w:rPr>
        <w:t>政策</w:t>
      </w:r>
      <w:bookmarkEnd w:id="190"/>
      <w:bookmarkEnd w:id="191"/>
      <w:bookmarkEnd w:id="192"/>
      <w:bookmarkEnd w:id="193"/>
      <w:bookmarkEnd w:id="194"/>
      <w:bookmarkEnd w:id="195"/>
    </w:p>
    <w:p>
      <w:pPr>
        <w:keepNext w:val="0"/>
        <w:keepLines w:val="0"/>
        <w:pageBreakBefore w:val="0"/>
        <w:widowControl w:val="0"/>
        <w:kinsoku/>
        <w:wordWrap/>
        <w:overflowPunct/>
        <w:topLinePunct w:val="0"/>
        <w:bidi w:val="0"/>
        <w:adjustRightInd/>
        <w:snapToGrid w:val="0"/>
        <w:spacing w:line="360" w:lineRule="auto"/>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【享受主体】</w:t>
      </w:r>
    </w:p>
    <w:p>
      <w:pPr>
        <w:keepNext w:val="0"/>
        <w:keepLines w:val="0"/>
        <w:pageBreakBefore w:val="0"/>
        <w:widowControl w:val="0"/>
        <w:kinsoku/>
        <w:wordWrap/>
        <w:overflowPunct/>
        <w:topLinePunct w:val="0"/>
        <w:bidi w:val="0"/>
        <w:adjustRightInd/>
        <w:snapToGrid w:val="0"/>
        <w:spacing w:line="360" w:lineRule="auto"/>
        <w:ind w:firstLine="560" w:firstLineChars="200"/>
        <w:jc w:val="both"/>
        <w:textAlignment w:val="auto"/>
        <w:outlineLvl w:val="2"/>
        <w:rPr>
          <w:rFonts w:hint="eastAsia" w:asciiTheme="minorEastAsia" w:hAnsiTheme="minorEastAsia" w:eastAsiaTheme="minorEastAsia" w:cstheme="minorEastAsia"/>
          <w:bCs/>
          <w:color w:val="000000"/>
          <w:sz w:val="28"/>
          <w:szCs w:val="28"/>
          <w:lang w:val="en-US"/>
        </w:rPr>
      </w:pPr>
      <w:r>
        <w:rPr>
          <w:rFonts w:hint="eastAsia" w:asciiTheme="minorEastAsia" w:hAnsiTheme="minorEastAsia" w:eastAsiaTheme="minorEastAsia" w:cstheme="minorEastAsia"/>
          <w:bCs/>
          <w:color w:val="000000"/>
          <w:sz w:val="28"/>
          <w:szCs w:val="28"/>
          <w:lang w:val="en-US"/>
        </w:rPr>
        <w:t>科技型中小企业</w:t>
      </w:r>
    </w:p>
    <w:p>
      <w:pPr>
        <w:keepNext w:val="0"/>
        <w:keepLines w:val="0"/>
        <w:pageBreakBefore w:val="0"/>
        <w:widowControl w:val="0"/>
        <w:kinsoku/>
        <w:wordWrap/>
        <w:overflowPunct/>
        <w:topLinePunct w:val="0"/>
        <w:bidi w:val="0"/>
        <w:adjustRightInd/>
        <w:snapToGrid w:val="0"/>
        <w:spacing w:line="360" w:lineRule="auto"/>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【优惠内容】</w:t>
      </w:r>
    </w:p>
    <w:p>
      <w:pPr>
        <w:keepNext w:val="0"/>
        <w:keepLines w:val="0"/>
        <w:pageBreakBefore w:val="0"/>
        <w:widowControl w:val="0"/>
        <w:kinsoku/>
        <w:wordWrap/>
        <w:overflowPunct/>
        <w:topLinePunct w:val="0"/>
        <w:bidi w:val="0"/>
        <w:adjustRightInd/>
        <w:snapToGrid w:val="0"/>
        <w:spacing w:line="360" w:lineRule="auto"/>
        <w:ind w:firstLine="560"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Cs/>
          <w:color w:val="000000"/>
          <w:sz w:val="28"/>
          <w:szCs w:val="28"/>
          <w:lang w:val="en-US"/>
        </w:rPr>
        <w:t>科技型中小企业开展研发活动中实际发生的研发费用，未形成无形资产计入当期损益的，在按规定据实扣除的基础上，自2022年1月1日起，再按照实际发生额的100%在税前加计扣除；形成无形资产的，自2022年1月1日起，按照无形资产成本的200%在税前摊销。</w:t>
      </w:r>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【享受条件】</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bCs/>
          <w:color w:val="000000"/>
          <w:sz w:val="28"/>
          <w:szCs w:val="28"/>
          <w:lang w:val="en-US"/>
        </w:rPr>
      </w:pPr>
      <w:r>
        <w:rPr>
          <w:rFonts w:hint="eastAsia" w:asciiTheme="minorEastAsia" w:hAnsiTheme="minorEastAsia" w:eastAsiaTheme="minorEastAsia" w:cstheme="minorEastAsia"/>
          <w:bCs/>
          <w:color w:val="000000"/>
          <w:sz w:val="28"/>
          <w:szCs w:val="28"/>
          <w:lang w:val="en-US"/>
        </w:rPr>
        <w:t>1.科技型中小企业条件和管理办法按照《科技部 财政部 国家税务总局关于印发&lt;科技型中小企业评价办法&gt;的通知》（国科发政〔2017〕115号）执行。</w:t>
      </w:r>
    </w:p>
    <w:p>
      <w:pPr>
        <w:keepNext w:val="0"/>
        <w:keepLines w:val="0"/>
        <w:pageBreakBefore w:val="0"/>
        <w:widowControl w:val="0"/>
        <w:kinsoku/>
        <w:wordWrap/>
        <w:overflowPunct/>
        <w:topLinePunct w:val="0"/>
        <w:bidi w:val="0"/>
        <w:adjustRightInd/>
        <w:snapToGrid/>
        <w:spacing w:line="360" w:lineRule="auto"/>
        <w:ind w:firstLine="560"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Cs/>
          <w:color w:val="000000"/>
          <w:sz w:val="28"/>
          <w:szCs w:val="28"/>
          <w:lang w:val="en-US"/>
        </w:rPr>
        <w:t>2.科技型中小企业享受研发费用税前加计扣除政策的其他政策口径和管理要求，按照《财政部 国家税务总局 科技部关于完善研究开发费用税前加计扣除政策的通知》（财税〔2015〕119号）、《财政部 税务总局 科技部关于企业委托境外研究开发费用税前加计扣除有关政策问题的通知》（财税〔2018〕64号）等文件相关规定执行。</w:t>
      </w:r>
    </w:p>
    <w:p>
      <w:pPr>
        <w:keepNext w:val="0"/>
        <w:keepLines w:val="0"/>
        <w:pageBreakBefore w:val="0"/>
        <w:widowControl w:val="0"/>
        <w:kinsoku/>
        <w:wordWrap/>
        <w:overflowPunct/>
        <w:topLinePunct w:val="0"/>
        <w:bidi w:val="0"/>
        <w:adjustRightInd/>
        <w:snapToGrid/>
        <w:spacing w:line="360" w:lineRule="auto"/>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【政策依据】</w:t>
      </w:r>
    </w:p>
    <w:p>
      <w:pPr>
        <w:spacing w:line="360" w:lineRule="auto"/>
        <w:ind w:firstLine="560" w:firstLineChars="200"/>
        <w:jc w:val="both"/>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bCs/>
          <w:color w:val="000000"/>
          <w:sz w:val="28"/>
          <w:szCs w:val="28"/>
          <w:lang w:val="en-US"/>
        </w:rPr>
        <w:t>《财政部 税务总局 科技部关于进一步提高科技型中小企业研发费用税前加计扣除比例的公告》（2022年第16号）</w:t>
      </w:r>
    </w:p>
    <w:p>
      <w:pPr>
        <w:pStyle w:val="4"/>
        <w:keepNext w:val="0"/>
        <w:keepLines w:val="0"/>
        <w:pageBreakBefore w:val="0"/>
        <w:widowControl w:val="0"/>
        <w:tabs>
          <w:tab w:val="left" w:pos="484"/>
        </w:tabs>
        <w:kinsoku/>
        <w:wordWrap/>
        <w:overflowPunct/>
        <w:topLinePunct w:val="0"/>
        <w:bidi w:val="0"/>
        <w:adjustRightInd/>
        <w:snapToGrid/>
        <w:spacing w:line="360" w:lineRule="auto"/>
        <w:ind w:left="0" w:firstLine="562" w:firstLineChars="200"/>
        <w:jc w:val="both"/>
        <w:textAlignment w:val="auto"/>
        <w:rPr>
          <w:rFonts w:hint="eastAsia" w:asciiTheme="minorEastAsia" w:hAnsiTheme="minorEastAsia" w:eastAsiaTheme="minorEastAsia" w:cstheme="minorEastAsia"/>
          <w:color w:val="000000"/>
          <w:sz w:val="28"/>
          <w:szCs w:val="28"/>
          <w:lang w:val="en-US"/>
        </w:rPr>
      </w:pPr>
      <w:bookmarkStart w:id="196" w:name="_Toc1959484454"/>
      <w:bookmarkStart w:id="197" w:name="_Toc18160"/>
      <w:bookmarkStart w:id="198" w:name="_Toc2105304723"/>
      <w:bookmarkStart w:id="199" w:name="_Toc2107199940"/>
      <w:bookmarkStart w:id="200" w:name="_Toc497366812"/>
      <w:bookmarkStart w:id="201" w:name="_Toc12013"/>
      <w:r>
        <w:rPr>
          <w:rFonts w:hint="eastAsia" w:asciiTheme="minorEastAsia" w:hAnsiTheme="minorEastAsia" w:eastAsiaTheme="minorEastAsia" w:cstheme="minorEastAsia"/>
          <w:color w:val="000000"/>
          <w:sz w:val="28"/>
          <w:szCs w:val="28"/>
          <w:lang w:val="en-US" w:eastAsia="zh-CN"/>
        </w:rPr>
        <w:t>（九）小微企业</w:t>
      </w:r>
      <w:r>
        <w:rPr>
          <w:rFonts w:hint="eastAsia" w:asciiTheme="minorEastAsia" w:hAnsiTheme="minorEastAsia" w:eastAsiaTheme="minorEastAsia" w:cstheme="minorEastAsia"/>
          <w:color w:val="000000"/>
          <w:sz w:val="28"/>
          <w:szCs w:val="28"/>
          <w:lang w:val="en-US"/>
        </w:rPr>
        <w:t>“六税两费”减免</w:t>
      </w:r>
      <w:r>
        <w:rPr>
          <w:rFonts w:hint="eastAsia" w:asciiTheme="minorEastAsia" w:hAnsiTheme="minorEastAsia" w:eastAsiaTheme="minorEastAsia" w:cstheme="minorEastAsia"/>
          <w:color w:val="000000"/>
          <w:sz w:val="28"/>
          <w:szCs w:val="28"/>
          <w:lang w:val="en-US" w:eastAsia="zh-CN"/>
        </w:rPr>
        <w:t>政策</w:t>
      </w:r>
      <w:bookmarkEnd w:id="196"/>
      <w:bookmarkEnd w:id="197"/>
      <w:bookmarkEnd w:id="198"/>
      <w:bookmarkEnd w:id="199"/>
      <w:bookmarkEnd w:id="200"/>
      <w:bookmarkEnd w:id="201"/>
    </w:p>
    <w:p>
      <w:pPr>
        <w:keepNext w:val="0"/>
        <w:keepLines w:val="0"/>
        <w:pageBreakBefore w:val="0"/>
        <w:widowControl w:val="0"/>
        <w:kinsoku/>
        <w:wordWrap/>
        <w:overflowPunct/>
        <w:topLinePunct w:val="0"/>
        <w:bidi w:val="0"/>
        <w:adjustRightInd/>
        <w:snapToGrid/>
        <w:spacing w:line="360" w:lineRule="auto"/>
        <w:ind w:left="520"/>
        <w:jc w:val="both"/>
        <w:textAlignment w:val="auto"/>
        <w:outlineLvl w:val="2"/>
        <w:rPr>
          <w:rFonts w:hint="eastAsia" w:asciiTheme="minorEastAsia" w:hAnsiTheme="minorEastAsia" w:eastAsiaTheme="minorEastAsia" w:cstheme="minorEastAsia"/>
          <w:b/>
          <w:color w:val="000000"/>
          <w:sz w:val="28"/>
          <w:szCs w:val="28"/>
        </w:rPr>
      </w:pPr>
      <w:bookmarkStart w:id="202" w:name="_Toc17420"/>
      <w:bookmarkStart w:id="203" w:name="_Toc16605"/>
      <w:bookmarkStart w:id="204" w:name="_Toc18482"/>
      <w:bookmarkStart w:id="205" w:name="_Toc13334"/>
      <w:bookmarkStart w:id="206" w:name="_Toc18285"/>
      <w:bookmarkStart w:id="207" w:name="_Toc13108"/>
      <w:bookmarkStart w:id="208" w:name="_Toc8763"/>
      <w:bookmarkStart w:id="209" w:name="_Toc13271"/>
      <w:r>
        <w:rPr>
          <w:rFonts w:hint="eastAsia" w:asciiTheme="minorEastAsia" w:hAnsiTheme="minorEastAsia" w:eastAsiaTheme="minorEastAsia" w:cstheme="minorEastAsia"/>
          <w:b/>
          <w:color w:val="000000"/>
          <w:sz w:val="28"/>
          <w:szCs w:val="28"/>
        </w:rPr>
        <w:t>【享受主体】</w:t>
      </w:r>
      <w:bookmarkEnd w:id="202"/>
      <w:bookmarkEnd w:id="203"/>
      <w:bookmarkEnd w:id="204"/>
      <w:bookmarkEnd w:id="205"/>
      <w:bookmarkEnd w:id="206"/>
      <w:bookmarkEnd w:id="207"/>
      <w:bookmarkEnd w:id="208"/>
      <w:bookmarkEnd w:id="209"/>
    </w:p>
    <w:p>
      <w:pPr>
        <w:keepNext w:val="0"/>
        <w:keepLines w:val="0"/>
        <w:pageBreakBefore w:val="0"/>
        <w:widowControl w:val="0"/>
        <w:kinsoku/>
        <w:wordWrap/>
        <w:overflowPunct/>
        <w:topLinePunct w:val="0"/>
        <w:bidi w:val="0"/>
        <w:adjustRightInd/>
        <w:snapToGrid/>
        <w:spacing w:line="360" w:lineRule="auto"/>
        <w:ind w:left="52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增值税小规模纳税人、小型微利企业和个体工商户</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210" w:name="_Toc6653"/>
      <w:bookmarkStart w:id="211" w:name="_Toc18854"/>
      <w:bookmarkStart w:id="212" w:name="_Toc24299"/>
      <w:bookmarkStart w:id="213" w:name="_Toc32697"/>
      <w:bookmarkStart w:id="214" w:name="_Toc22181"/>
      <w:bookmarkStart w:id="215" w:name="_Toc27967"/>
      <w:bookmarkStart w:id="216" w:name="_Toc11343"/>
      <w:bookmarkStart w:id="217" w:name="_Toc28168"/>
      <w:r>
        <w:rPr>
          <w:rFonts w:hint="eastAsia" w:asciiTheme="minorEastAsia" w:hAnsiTheme="minorEastAsia" w:eastAsiaTheme="minorEastAsia" w:cstheme="minorEastAsia"/>
          <w:b/>
          <w:color w:val="000000"/>
          <w:sz w:val="28"/>
          <w:szCs w:val="28"/>
        </w:rPr>
        <w:t>【优惠内容】</w:t>
      </w:r>
      <w:bookmarkEnd w:id="210"/>
      <w:bookmarkEnd w:id="211"/>
      <w:bookmarkEnd w:id="212"/>
      <w:bookmarkEnd w:id="213"/>
      <w:bookmarkEnd w:id="214"/>
      <w:bookmarkEnd w:id="215"/>
      <w:bookmarkEnd w:id="216"/>
      <w:bookmarkEnd w:id="217"/>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自2022年1月1日至2024年12月31日，</w:t>
      </w:r>
      <w:r>
        <w:rPr>
          <w:rFonts w:hint="eastAsia" w:asciiTheme="minorEastAsia" w:hAnsiTheme="minorEastAsia" w:eastAsiaTheme="minorEastAsia" w:cstheme="minorEastAsia"/>
          <w:color w:val="000000"/>
          <w:sz w:val="28"/>
          <w:szCs w:val="28"/>
          <w:lang w:val="en-US"/>
        </w:rPr>
        <w:t>由省、自治区、直辖市人民政府根据本地区实际情况，以及宏观调控需要确定，对增值税小规模纳税人、小型微利企业和个体工商户可以在50%的税额幅度内减征资源税、城市维护建设税、房产税、城镇土地使用税、印花税（不含证券交易印花税）、耕地占用税和教育费附加、地方教育附加。</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lang w:val="en-US"/>
        </w:rPr>
      </w:pPr>
      <w:bookmarkStart w:id="218" w:name="_Toc13414"/>
      <w:bookmarkStart w:id="219" w:name="_Toc30995"/>
      <w:bookmarkStart w:id="220" w:name="_Toc2032"/>
      <w:bookmarkStart w:id="221" w:name="_Toc21004"/>
      <w:bookmarkStart w:id="222" w:name="_Toc2661"/>
      <w:bookmarkStart w:id="223" w:name="_Toc27687"/>
      <w:bookmarkStart w:id="224" w:name="_Toc14850"/>
      <w:bookmarkStart w:id="225" w:name="_Toc8283"/>
      <w:r>
        <w:rPr>
          <w:rFonts w:hint="eastAsia" w:asciiTheme="minorEastAsia" w:hAnsiTheme="minorEastAsia" w:eastAsiaTheme="minorEastAsia" w:cstheme="minorEastAsia"/>
          <w:b/>
          <w:color w:val="000000"/>
          <w:sz w:val="28"/>
          <w:szCs w:val="28"/>
        </w:rPr>
        <w:t>【享受条件】</w:t>
      </w:r>
      <w:bookmarkEnd w:id="218"/>
      <w:bookmarkEnd w:id="219"/>
      <w:bookmarkEnd w:id="220"/>
      <w:bookmarkEnd w:id="221"/>
      <w:bookmarkEnd w:id="222"/>
      <w:bookmarkEnd w:id="223"/>
      <w:bookmarkEnd w:id="224"/>
      <w:bookmarkEnd w:id="225"/>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1.小型微利企业，是指从事国家非限制和禁止行业，且同时符合年度应纳税所得额不超过300万元、从业人数不超过300人、资产总额不超过5000万元等三个条件的企业。</w:t>
      </w:r>
    </w:p>
    <w:p>
      <w:pPr>
        <w:keepNext w:val="0"/>
        <w:keepLines w:val="0"/>
        <w:pageBreakBefore w:val="0"/>
        <w:widowControl w:val="0"/>
        <w:kinsoku/>
        <w:wordWrap/>
        <w:overflowPunct/>
        <w:topLinePunct w:val="0"/>
        <w:bidi w:val="0"/>
        <w:adjustRightInd/>
        <w:snapToGrid w:val="0"/>
        <w:spacing w:line="360" w:lineRule="auto"/>
        <w:ind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从业人数，包括与企业建立劳动关系的职工人数和企业接受的劳务派遣用工人数。所称从业人数和资产总额指标，应按企业全年的季度平均值确定。具体计算公式如下：</w:t>
      </w:r>
    </w:p>
    <w:p>
      <w:pPr>
        <w:keepNext w:val="0"/>
        <w:keepLines w:val="0"/>
        <w:pageBreakBefore w:val="0"/>
        <w:widowControl w:val="0"/>
        <w:kinsoku/>
        <w:wordWrap/>
        <w:overflowPunct/>
        <w:topLinePunct w:val="0"/>
        <w:bidi w:val="0"/>
        <w:adjustRightInd/>
        <w:snapToGrid w:val="0"/>
        <w:spacing w:line="360" w:lineRule="auto"/>
        <w:ind w:firstLine="560" w:firstLineChars="200"/>
        <w:jc w:val="both"/>
        <w:textAlignment w:val="auto"/>
        <w:outlineLvl w:val="9"/>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季度平均值＝（季初值＋季末值）÷2</w:t>
      </w:r>
    </w:p>
    <w:p>
      <w:pPr>
        <w:keepNext w:val="0"/>
        <w:keepLines w:val="0"/>
        <w:pageBreakBefore w:val="0"/>
        <w:widowControl w:val="0"/>
        <w:kinsoku/>
        <w:wordWrap/>
        <w:overflowPunct/>
        <w:topLinePunct w:val="0"/>
        <w:bidi w:val="0"/>
        <w:adjustRightInd/>
        <w:snapToGrid w:val="0"/>
        <w:spacing w:line="360" w:lineRule="auto"/>
        <w:ind w:firstLine="560" w:firstLineChars="200"/>
        <w:jc w:val="both"/>
        <w:textAlignment w:val="auto"/>
        <w:outlineLvl w:val="9"/>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全年季度平均值＝全年各季度平均值之和÷4</w:t>
      </w:r>
    </w:p>
    <w:p>
      <w:pPr>
        <w:keepNext w:val="0"/>
        <w:keepLines w:val="0"/>
        <w:pageBreakBefore w:val="0"/>
        <w:widowControl w:val="0"/>
        <w:kinsoku/>
        <w:wordWrap/>
        <w:overflowPunct/>
        <w:topLinePunct w:val="0"/>
        <w:bidi w:val="0"/>
        <w:adjustRightInd/>
        <w:snapToGrid w:val="0"/>
        <w:spacing w:line="360" w:lineRule="auto"/>
        <w:ind w:firstLine="560" w:firstLineChars="200"/>
        <w:jc w:val="both"/>
        <w:textAlignment w:val="auto"/>
        <w:outlineLvl w:val="9"/>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年度中间开业或者终止经营活动的，以其实际经营期作为一个纳税年度确定上述相关指标。</w:t>
      </w:r>
    </w:p>
    <w:p>
      <w:pPr>
        <w:keepNext w:val="0"/>
        <w:keepLines w:val="0"/>
        <w:pageBreakBefore w:val="0"/>
        <w:widowControl w:val="0"/>
        <w:kinsoku/>
        <w:wordWrap/>
        <w:overflowPunct/>
        <w:topLinePunct w:val="0"/>
        <w:bidi w:val="0"/>
        <w:adjustRightInd/>
        <w:snapToGrid w:val="0"/>
        <w:spacing w:line="360" w:lineRule="auto"/>
        <w:ind w:firstLine="560" w:firstLineChars="200"/>
        <w:jc w:val="both"/>
        <w:textAlignment w:val="auto"/>
        <w:outlineLvl w:val="9"/>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 xml:space="preserve">小型微利企业的判定以企业所得税年度汇算清缴结果为准。         </w:t>
      </w:r>
    </w:p>
    <w:p>
      <w:pPr>
        <w:pStyle w:val="29"/>
        <w:tabs>
          <w:tab w:val="left" w:pos="1485"/>
        </w:tabs>
        <w:snapToGrid w:val="0"/>
        <w:spacing w:line="360" w:lineRule="auto"/>
        <w:ind w:left="0" w:right="295" w:firstLine="560" w:firstLineChars="200"/>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登记为增值税一般纳税人的新设立的企业，从事国家非限制和禁止行业，且同时符合申报期上月末从业人数不超过300人、资产总额不超过5000万元等两个条件的，可在首次办理汇算清缴前按照小型微利企业申报享受《财政部 税务总局关于进一步实施小微企业“六税两费”减免政策的公告》（2022年第10号） 第一条规定的优惠政策。</w:t>
      </w:r>
    </w:p>
    <w:p>
      <w:pPr>
        <w:pStyle w:val="29"/>
        <w:tabs>
          <w:tab w:val="left" w:pos="1485"/>
        </w:tabs>
        <w:snapToGrid w:val="0"/>
        <w:spacing w:line="360" w:lineRule="auto"/>
        <w:ind w:left="0" w:right="295" w:firstLine="560" w:firstLineChars="200"/>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2.增值税小规模纳税人、小型微利企业和个体工商户已依法享受资源税、城市维护建设税、房产税、城镇土地使用税、印花税、耕地占用税、教育费附加、地方教育附加其他优惠政策的，可叠加享受《财政部 税务总局关于进一步实施小微企业“六税两费”减免政策的公告》（2022年第10号） 第一条规定的优惠政策。</w:t>
      </w:r>
    </w:p>
    <w:p>
      <w:pPr>
        <w:pStyle w:val="29"/>
        <w:tabs>
          <w:tab w:val="left" w:pos="1485"/>
        </w:tabs>
        <w:snapToGrid w:val="0"/>
        <w:spacing w:line="360" w:lineRule="auto"/>
        <w:ind w:left="0" w:right="295" w:firstLine="560" w:firstLineChars="200"/>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lang w:val="en-US"/>
        </w:rPr>
        <w:t>纳税人符合条件但未及时申报享受“六税两费”减免优惠的，可依法申请抵减以后纳税期的应纳税费款或者申请退还。</w:t>
      </w:r>
    </w:p>
    <w:p>
      <w:pPr>
        <w:keepNext w:val="0"/>
        <w:keepLines w:val="0"/>
        <w:pageBreakBefore w:val="0"/>
        <w:widowControl w:val="0"/>
        <w:kinsoku/>
        <w:wordWrap/>
        <w:overflowPunct/>
        <w:topLinePunct w:val="0"/>
        <w:bidi w:val="0"/>
        <w:adjustRightInd/>
        <w:snapToGrid w:val="0"/>
        <w:spacing w:line="360" w:lineRule="auto"/>
        <w:ind w:left="520"/>
        <w:jc w:val="both"/>
        <w:textAlignment w:val="auto"/>
        <w:outlineLvl w:val="2"/>
        <w:rPr>
          <w:rFonts w:hint="eastAsia" w:asciiTheme="minorEastAsia" w:hAnsiTheme="minorEastAsia" w:eastAsiaTheme="minorEastAsia" w:cstheme="minorEastAsia"/>
          <w:b/>
          <w:color w:val="000000"/>
          <w:sz w:val="28"/>
          <w:szCs w:val="28"/>
        </w:rPr>
      </w:pPr>
      <w:bookmarkStart w:id="226" w:name="_Toc16524"/>
      <w:bookmarkStart w:id="227" w:name="_Toc63"/>
      <w:bookmarkStart w:id="228" w:name="_Toc6835"/>
      <w:bookmarkStart w:id="229" w:name="_Toc13328"/>
      <w:bookmarkStart w:id="230" w:name="_Toc18945"/>
      <w:bookmarkStart w:id="231" w:name="_Toc16067"/>
      <w:bookmarkStart w:id="232" w:name="_Toc14086"/>
      <w:bookmarkStart w:id="233" w:name="_Toc18571"/>
      <w:r>
        <w:rPr>
          <w:rFonts w:hint="eastAsia" w:asciiTheme="minorEastAsia" w:hAnsiTheme="minorEastAsia" w:eastAsiaTheme="minorEastAsia" w:cstheme="minorEastAsia"/>
          <w:b/>
          <w:color w:val="000000"/>
          <w:sz w:val="28"/>
          <w:szCs w:val="28"/>
        </w:rPr>
        <w:t>【政策依据】</w:t>
      </w:r>
      <w:bookmarkEnd w:id="226"/>
      <w:bookmarkEnd w:id="227"/>
      <w:bookmarkEnd w:id="228"/>
      <w:bookmarkEnd w:id="229"/>
      <w:bookmarkEnd w:id="230"/>
      <w:bookmarkEnd w:id="231"/>
      <w:bookmarkEnd w:id="232"/>
      <w:bookmarkEnd w:id="233"/>
    </w:p>
    <w:p>
      <w:pPr>
        <w:pStyle w:val="29"/>
        <w:keepNext w:val="0"/>
        <w:keepLines w:val="0"/>
        <w:pageBreakBefore w:val="0"/>
        <w:widowControl w:val="0"/>
        <w:tabs>
          <w:tab w:val="left" w:pos="1485"/>
        </w:tabs>
        <w:kinsoku/>
        <w:wordWrap/>
        <w:overflowPunct/>
        <w:topLinePunct w:val="0"/>
        <w:bidi w:val="0"/>
        <w:adjustRightInd/>
        <w:snapToGrid w:val="0"/>
        <w:spacing w:line="360" w:lineRule="auto"/>
        <w:ind w:left="0" w:right="295"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lang w:val="en-US"/>
        </w:rPr>
        <w:t xml:space="preserve">《财政部 税务总局关于进一步实施小微企业“六税两费”减免政策的公告》（2022年第10号） </w:t>
      </w:r>
    </w:p>
    <w:p>
      <w:pPr>
        <w:pStyle w:val="29"/>
        <w:keepNext w:val="0"/>
        <w:keepLines w:val="0"/>
        <w:pageBreakBefore w:val="0"/>
        <w:widowControl w:val="0"/>
        <w:tabs>
          <w:tab w:val="left" w:pos="1485"/>
        </w:tabs>
        <w:kinsoku/>
        <w:wordWrap/>
        <w:overflowPunct/>
        <w:topLinePunct w:val="0"/>
        <w:bidi w:val="0"/>
        <w:adjustRightInd/>
        <w:snapToGrid w:val="0"/>
        <w:spacing w:line="360" w:lineRule="auto"/>
        <w:ind w:left="0" w:right="295" w:firstLineChars="200"/>
        <w:jc w:val="both"/>
        <w:textAlignment w:val="auto"/>
        <w:outlineLvl w:val="2"/>
        <w:rPr>
          <w:rFonts w:hint="eastAsia" w:asciiTheme="minorEastAsia" w:hAnsiTheme="minorEastAsia" w:eastAsiaTheme="minorEastAsia" w:cstheme="minorEastAsia"/>
          <w:color w:val="auto"/>
          <w:sz w:val="28"/>
          <w:szCs w:val="28"/>
          <w:lang w:val="en-US"/>
        </w:rPr>
      </w:pPr>
      <w:r>
        <w:rPr>
          <w:rFonts w:hint="eastAsia" w:asciiTheme="minorEastAsia" w:hAnsiTheme="minorEastAsia" w:eastAsiaTheme="minorEastAsia" w:cstheme="minorEastAsia"/>
          <w:color w:val="auto"/>
          <w:sz w:val="28"/>
          <w:szCs w:val="28"/>
          <w:lang w:val="en-US" w:eastAsia="zh-CN"/>
        </w:rPr>
        <w:t>2.《云南省财政厅 国家税务总局云南省税务局关于进一步实施小微企业”六税两费“减免政策的公告》（2022年第4号）</w:t>
      </w:r>
    </w:p>
    <w:p>
      <w:pPr>
        <w:pStyle w:val="4"/>
        <w:keepNext w:val="0"/>
        <w:keepLines w:val="0"/>
        <w:pageBreakBefore w:val="0"/>
        <w:widowControl w:val="0"/>
        <w:tabs>
          <w:tab w:val="left" w:pos="484"/>
        </w:tabs>
        <w:kinsoku/>
        <w:wordWrap/>
        <w:overflowPunct/>
        <w:topLinePunct w:val="0"/>
        <w:bidi w:val="0"/>
        <w:adjustRightInd/>
        <w:snapToGrid w:val="0"/>
        <w:spacing w:line="360" w:lineRule="auto"/>
        <w:ind w:left="0"/>
        <w:jc w:val="both"/>
        <w:textAlignment w:val="auto"/>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 xml:space="preserve">   </w:t>
      </w:r>
      <w:bookmarkStart w:id="234" w:name="_Toc13256"/>
      <w:bookmarkStart w:id="235" w:name="_Toc410875040"/>
      <w:bookmarkStart w:id="236" w:name="_Toc1723173152"/>
      <w:bookmarkStart w:id="237" w:name="_Toc31840"/>
      <w:bookmarkStart w:id="238" w:name="_Toc27287"/>
      <w:bookmarkStart w:id="239" w:name="_Toc72965672"/>
      <w:bookmarkStart w:id="240" w:name="_Toc478141369"/>
      <w:r>
        <w:rPr>
          <w:rFonts w:hint="eastAsia" w:asciiTheme="minorEastAsia" w:hAnsiTheme="minorEastAsia" w:eastAsiaTheme="minorEastAsia" w:cstheme="minorEastAsia"/>
          <w:color w:val="000000"/>
          <w:sz w:val="28"/>
          <w:szCs w:val="28"/>
          <w:lang w:val="en-US" w:eastAsia="zh-CN"/>
        </w:rPr>
        <w:t>（十）小型微利企业减免企业所得税政策</w:t>
      </w:r>
      <w:bookmarkEnd w:id="234"/>
      <w:bookmarkEnd w:id="235"/>
      <w:bookmarkEnd w:id="236"/>
      <w:bookmarkEnd w:id="237"/>
      <w:bookmarkEnd w:id="238"/>
      <w:bookmarkEnd w:id="239"/>
      <w:bookmarkEnd w:id="240"/>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241" w:name="_Toc16178"/>
      <w:bookmarkStart w:id="242" w:name="_Toc30359"/>
      <w:bookmarkStart w:id="243" w:name="_Toc23719"/>
      <w:bookmarkStart w:id="244" w:name="_Toc16989"/>
      <w:bookmarkStart w:id="245" w:name="_Toc10734"/>
      <w:bookmarkStart w:id="246" w:name="_Toc24735"/>
      <w:bookmarkStart w:id="247" w:name="_Toc5057"/>
      <w:r>
        <w:rPr>
          <w:rFonts w:hint="eastAsia" w:asciiTheme="minorEastAsia" w:hAnsiTheme="minorEastAsia" w:eastAsiaTheme="minorEastAsia" w:cstheme="minorEastAsia"/>
          <w:b/>
          <w:color w:val="000000"/>
          <w:sz w:val="28"/>
          <w:szCs w:val="28"/>
        </w:rPr>
        <w:t>【享受主体】</w:t>
      </w:r>
      <w:bookmarkEnd w:id="241"/>
      <w:bookmarkEnd w:id="242"/>
      <w:bookmarkEnd w:id="243"/>
      <w:bookmarkEnd w:id="244"/>
      <w:bookmarkEnd w:id="245"/>
      <w:bookmarkEnd w:id="246"/>
      <w:bookmarkEnd w:id="247"/>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zh-CN" w:bidi="zh-CN"/>
        </w:rPr>
      </w:pPr>
      <w:bookmarkStart w:id="248" w:name="_Hlk99359952"/>
      <w:r>
        <w:rPr>
          <w:rFonts w:hint="eastAsia" w:asciiTheme="minorEastAsia" w:hAnsiTheme="minorEastAsia" w:eastAsiaTheme="minorEastAsia" w:cstheme="minorEastAsia"/>
          <w:color w:val="000000"/>
          <w:sz w:val="28"/>
          <w:szCs w:val="28"/>
          <w:lang w:val="zh-CN" w:bidi="zh-CN"/>
        </w:rPr>
        <w:t>小型微利</w:t>
      </w:r>
      <w:bookmarkEnd w:id="248"/>
      <w:r>
        <w:rPr>
          <w:rFonts w:hint="eastAsia" w:asciiTheme="minorEastAsia" w:hAnsiTheme="minorEastAsia" w:eastAsiaTheme="minorEastAsia" w:cstheme="minorEastAsia"/>
          <w:color w:val="000000"/>
          <w:sz w:val="28"/>
          <w:szCs w:val="28"/>
          <w:lang w:val="zh-CN" w:bidi="zh-CN"/>
        </w:rPr>
        <w:t>企业</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249" w:name="_Toc22162"/>
      <w:bookmarkStart w:id="250" w:name="_Toc25716"/>
      <w:bookmarkStart w:id="251" w:name="_Toc22630"/>
      <w:bookmarkStart w:id="252" w:name="_Toc1200"/>
      <w:bookmarkStart w:id="253" w:name="_Toc8390"/>
      <w:bookmarkStart w:id="254" w:name="_Toc9830"/>
      <w:bookmarkStart w:id="255" w:name="_Toc15975"/>
      <w:r>
        <w:rPr>
          <w:rFonts w:hint="eastAsia" w:asciiTheme="minorEastAsia" w:hAnsiTheme="minorEastAsia" w:eastAsiaTheme="minorEastAsia" w:cstheme="minorEastAsia"/>
          <w:b/>
          <w:color w:val="000000"/>
          <w:sz w:val="28"/>
          <w:szCs w:val="28"/>
        </w:rPr>
        <w:t>【优惠内容】</w:t>
      </w:r>
      <w:bookmarkEnd w:id="249"/>
      <w:bookmarkEnd w:id="250"/>
      <w:bookmarkEnd w:id="251"/>
      <w:bookmarkEnd w:id="252"/>
      <w:bookmarkEnd w:id="253"/>
      <w:bookmarkEnd w:id="254"/>
      <w:bookmarkEnd w:id="255"/>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zh-CN" w:bidi="zh-CN"/>
        </w:rPr>
      </w:pPr>
      <w:r>
        <w:rPr>
          <w:rFonts w:hint="eastAsia" w:asciiTheme="minorEastAsia" w:hAnsiTheme="minorEastAsia" w:eastAsiaTheme="minorEastAsia" w:cstheme="minorEastAsia"/>
          <w:color w:val="000000"/>
          <w:sz w:val="28"/>
          <w:szCs w:val="28"/>
          <w:lang w:val="zh-CN" w:bidi="zh-CN"/>
        </w:rPr>
        <w:t>自2022年1月1日至2024年12月31日，对小型微利企业年应纳税所得额超过100万元但不超过300万元的部分，减按25%计入应纳税所得额，按20%的税率缴纳企业所得税。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256" w:name="_Toc7165"/>
      <w:bookmarkStart w:id="257" w:name="_Toc361"/>
      <w:bookmarkStart w:id="258" w:name="_Toc25727"/>
      <w:bookmarkStart w:id="259" w:name="_Toc32558"/>
      <w:bookmarkStart w:id="260" w:name="_Toc30149"/>
      <w:bookmarkStart w:id="261" w:name="_Toc29762"/>
      <w:bookmarkStart w:id="262" w:name="_Toc19002"/>
      <w:r>
        <w:rPr>
          <w:rFonts w:hint="eastAsia" w:asciiTheme="minorEastAsia" w:hAnsiTheme="minorEastAsia" w:eastAsiaTheme="minorEastAsia" w:cstheme="minorEastAsia"/>
          <w:b/>
          <w:color w:val="000000"/>
          <w:sz w:val="28"/>
          <w:szCs w:val="28"/>
        </w:rPr>
        <w:t>【享受条件】</w:t>
      </w:r>
      <w:bookmarkEnd w:id="256"/>
      <w:bookmarkEnd w:id="257"/>
      <w:bookmarkEnd w:id="258"/>
      <w:bookmarkEnd w:id="259"/>
      <w:bookmarkEnd w:id="260"/>
      <w:bookmarkEnd w:id="261"/>
      <w:bookmarkEnd w:id="262"/>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zh-CN" w:bidi="zh-CN"/>
        </w:rPr>
      </w:pPr>
      <w:r>
        <w:rPr>
          <w:rFonts w:hint="eastAsia" w:asciiTheme="minorEastAsia" w:hAnsiTheme="minorEastAsia" w:eastAsiaTheme="minorEastAsia" w:cstheme="minorEastAsia"/>
          <w:color w:val="000000"/>
          <w:sz w:val="28"/>
          <w:szCs w:val="28"/>
          <w:lang w:val="zh-CN" w:bidi="zh-CN"/>
        </w:rPr>
        <w:t>小型微利企业，是指从事国家非限制和禁止行业，且同时符合年度应纳税所得额不超过300万元、从业人数不超过300人、资产总额不超过5000万元等三个条件的企业。</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zh-CN" w:bidi="zh-CN"/>
        </w:rPr>
      </w:pPr>
      <w:r>
        <w:rPr>
          <w:rFonts w:hint="eastAsia" w:asciiTheme="minorEastAsia" w:hAnsiTheme="minorEastAsia" w:eastAsiaTheme="minorEastAsia" w:cstheme="minorEastAsia"/>
          <w:color w:val="000000"/>
          <w:sz w:val="28"/>
          <w:szCs w:val="28"/>
          <w:lang w:val="zh-CN" w:bidi="zh-CN"/>
        </w:rPr>
        <w:t>从业人数，包括与企业建立劳动关系的职工人数和企业接受的劳务派遣用工人数。所称从业人数和资产总额指标，应按企业全年的季度平均值确定。具体计算公式如下：</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zh-CN" w:bidi="zh-CN"/>
        </w:rPr>
      </w:pPr>
      <w:r>
        <w:rPr>
          <w:rFonts w:hint="eastAsia" w:asciiTheme="minorEastAsia" w:hAnsiTheme="minorEastAsia" w:eastAsiaTheme="minorEastAsia" w:cstheme="minorEastAsia"/>
          <w:color w:val="000000"/>
          <w:sz w:val="28"/>
          <w:szCs w:val="28"/>
          <w:lang w:val="zh-CN" w:bidi="zh-CN"/>
        </w:rPr>
        <w:t>季度平均值＝（季初值＋季末值）÷2</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zh-CN" w:bidi="zh-CN"/>
        </w:rPr>
      </w:pPr>
      <w:r>
        <w:rPr>
          <w:rFonts w:hint="eastAsia" w:asciiTheme="minorEastAsia" w:hAnsiTheme="minorEastAsia" w:eastAsiaTheme="minorEastAsia" w:cstheme="minorEastAsia"/>
          <w:color w:val="000000"/>
          <w:sz w:val="28"/>
          <w:szCs w:val="28"/>
          <w:lang w:val="zh-CN" w:bidi="zh-CN"/>
        </w:rPr>
        <w:t>全年季度平均值＝全年各季度平均值之和÷4</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zh-CN" w:bidi="zh-CN"/>
        </w:rPr>
      </w:pPr>
      <w:r>
        <w:rPr>
          <w:rFonts w:hint="eastAsia" w:asciiTheme="minorEastAsia" w:hAnsiTheme="minorEastAsia" w:eastAsiaTheme="minorEastAsia" w:cstheme="minorEastAsia"/>
          <w:color w:val="000000"/>
          <w:sz w:val="28"/>
          <w:szCs w:val="28"/>
          <w:lang w:val="zh-CN" w:bidi="zh-CN"/>
        </w:rPr>
        <w:t>年度中间开业或者终止经营活动的，以其实际经营期作为一个纳税年度确定上述相关指标。</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pacing w:val="11"/>
          <w:w w:val="95"/>
          <w:sz w:val="28"/>
          <w:szCs w:val="28"/>
          <w:lang w:val="en-US"/>
        </w:rPr>
      </w:pPr>
      <w:bookmarkStart w:id="263" w:name="_Toc1438"/>
      <w:bookmarkStart w:id="264" w:name="_Toc2020"/>
      <w:bookmarkStart w:id="265" w:name="_Toc13137"/>
      <w:bookmarkStart w:id="266" w:name="_Toc32206"/>
      <w:bookmarkStart w:id="267" w:name="_Toc21940"/>
      <w:bookmarkStart w:id="268" w:name="_Toc30119"/>
      <w:bookmarkStart w:id="269" w:name="_Toc23772"/>
      <w:r>
        <w:rPr>
          <w:rFonts w:hint="eastAsia" w:asciiTheme="minorEastAsia" w:hAnsiTheme="minorEastAsia" w:eastAsiaTheme="minorEastAsia" w:cstheme="minorEastAsia"/>
          <w:b/>
          <w:color w:val="000000"/>
          <w:sz w:val="28"/>
          <w:szCs w:val="28"/>
        </w:rPr>
        <w:t>【政策依据】</w:t>
      </w:r>
      <w:bookmarkEnd w:id="263"/>
      <w:bookmarkEnd w:id="264"/>
      <w:bookmarkEnd w:id="265"/>
      <w:bookmarkEnd w:id="266"/>
      <w:bookmarkEnd w:id="267"/>
      <w:bookmarkEnd w:id="268"/>
      <w:bookmarkEnd w:id="269"/>
    </w:p>
    <w:p>
      <w:pPr>
        <w:pStyle w:val="8"/>
        <w:keepNext w:val="0"/>
        <w:keepLines w:val="0"/>
        <w:pageBreakBefore w:val="0"/>
        <w:widowControl w:val="0"/>
        <w:kinsoku/>
        <w:wordWrap/>
        <w:overflowPunct/>
        <w:topLinePunct w:val="0"/>
        <w:bidi w:val="0"/>
        <w:adjustRightInd/>
        <w:snapToGrid/>
        <w:spacing w:line="600" w:lineRule="exact"/>
        <w:ind w:left="0" w:right="295"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《财政部 税务总局关于进一步实施</w:t>
      </w:r>
      <w:r>
        <w:rPr>
          <w:rFonts w:hint="eastAsia" w:asciiTheme="minorEastAsia" w:hAnsiTheme="minorEastAsia" w:eastAsiaTheme="minorEastAsia" w:cstheme="minorEastAsia"/>
          <w:color w:val="auto"/>
          <w:sz w:val="28"/>
          <w:szCs w:val="28"/>
        </w:rPr>
        <w:t>小微企业所得税优惠</w:t>
      </w:r>
      <w:bookmarkStart w:id="270" w:name="_Hlk99378498"/>
      <w:r>
        <w:rPr>
          <w:rFonts w:hint="eastAsia" w:asciiTheme="minorEastAsia" w:hAnsiTheme="minorEastAsia" w:eastAsiaTheme="minorEastAsia" w:cstheme="minorEastAsia"/>
          <w:color w:val="auto"/>
          <w:sz w:val="28"/>
          <w:szCs w:val="28"/>
        </w:rPr>
        <w:t>政策的公告》</w:t>
      </w:r>
      <w:r>
        <w:rPr>
          <w:rFonts w:hint="eastAsia" w:asciiTheme="minorEastAsia" w:hAnsiTheme="minorEastAsia" w:eastAsiaTheme="minorEastAsia" w:cstheme="minorEastAsia"/>
          <w:color w:val="000000"/>
          <w:sz w:val="28"/>
          <w:szCs w:val="28"/>
        </w:rPr>
        <w:t>（2022年第13号）</w:t>
      </w:r>
      <w:bookmarkEnd w:id="270"/>
    </w:p>
    <w:p>
      <w:pPr>
        <w:pStyle w:val="4"/>
        <w:keepNext w:val="0"/>
        <w:keepLines w:val="0"/>
        <w:pageBreakBefore w:val="0"/>
        <w:widowControl w:val="0"/>
        <w:tabs>
          <w:tab w:val="left" w:pos="484"/>
        </w:tabs>
        <w:kinsoku/>
        <w:wordWrap/>
        <w:overflowPunct/>
        <w:topLinePunct w:val="0"/>
        <w:bidi w:val="0"/>
        <w:adjustRightInd/>
        <w:snapToGrid/>
        <w:spacing w:line="600" w:lineRule="exact"/>
        <w:ind w:left="160" w:firstLine="281" w:firstLineChars="100"/>
        <w:jc w:val="both"/>
        <w:textAlignment w:val="auto"/>
        <w:rPr>
          <w:rFonts w:hint="eastAsia" w:asciiTheme="minorEastAsia" w:hAnsiTheme="minorEastAsia" w:eastAsiaTheme="minorEastAsia" w:cstheme="minorEastAsia"/>
          <w:b/>
          <w:color w:val="000000"/>
          <w:sz w:val="28"/>
          <w:szCs w:val="28"/>
          <w:lang w:val="en-US"/>
        </w:rPr>
      </w:pPr>
      <w:bookmarkStart w:id="271" w:name="_Toc667982307"/>
      <w:bookmarkStart w:id="272" w:name="_Toc152690166"/>
      <w:bookmarkStart w:id="273" w:name="_Toc22842"/>
      <w:bookmarkStart w:id="274" w:name="_Toc1809834506"/>
      <w:bookmarkStart w:id="275" w:name="_Toc45813089"/>
      <w:bookmarkStart w:id="276" w:name="_Toc24828"/>
      <w:r>
        <w:rPr>
          <w:rFonts w:hint="eastAsia" w:asciiTheme="minorEastAsia" w:hAnsiTheme="minorEastAsia" w:eastAsiaTheme="minorEastAsia" w:cstheme="minorEastAsia"/>
          <w:color w:val="000000"/>
          <w:sz w:val="28"/>
          <w:szCs w:val="28"/>
          <w:lang w:val="en-US" w:eastAsia="zh-CN"/>
        </w:rPr>
        <w:t>（十一）</w:t>
      </w:r>
      <w:r>
        <w:rPr>
          <w:rStyle w:val="20"/>
          <w:rFonts w:hint="eastAsia" w:asciiTheme="minorEastAsia" w:hAnsiTheme="minorEastAsia" w:eastAsiaTheme="minorEastAsia" w:cstheme="minorEastAsia"/>
          <w:sz w:val="28"/>
          <w:szCs w:val="28"/>
          <w:lang w:val="en-US" w:eastAsia="zh-CN"/>
        </w:rPr>
        <w:t>制造业</w:t>
      </w:r>
      <w:r>
        <w:rPr>
          <w:rStyle w:val="20"/>
          <w:rFonts w:hint="eastAsia" w:asciiTheme="minorEastAsia" w:hAnsiTheme="minorEastAsia" w:eastAsiaTheme="minorEastAsia" w:cstheme="minorEastAsia"/>
          <w:sz w:val="28"/>
          <w:szCs w:val="28"/>
          <w:lang w:val="en-US"/>
        </w:rPr>
        <w:t>中小微企业延缓缴纳部分税费</w:t>
      </w:r>
      <w:r>
        <w:rPr>
          <w:rStyle w:val="20"/>
          <w:rFonts w:hint="eastAsia" w:asciiTheme="minorEastAsia" w:hAnsiTheme="minorEastAsia" w:eastAsiaTheme="minorEastAsia" w:cstheme="minorEastAsia"/>
          <w:sz w:val="28"/>
          <w:szCs w:val="28"/>
          <w:lang w:val="en-US" w:eastAsia="zh-CN"/>
        </w:rPr>
        <w:t>政策</w:t>
      </w:r>
      <w:bookmarkEnd w:id="271"/>
      <w:bookmarkEnd w:id="272"/>
      <w:bookmarkEnd w:id="273"/>
      <w:bookmarkEnd w:id="274"/>
      <w:bookmarkEnd w:id="275"/>
      <w:bookmarkEnd w:id="276"/>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lang w:val="en-US"/>
        </w:rPr>
      </w:pPr>
      <w:bookmarkStart w:id="277" w:name="_Toc19507"/>
      <w:bookmarkStart w:id="278" w:name="_Toc21146"/>
      <w:bookmarkStart w:id="279" w:name="_Toc8086"/>
      <w:bookmarkStart w:id="280" w:name="_Toc22821"/>
      <w:bookmarkStart w:id="281" w:name="_Toc26099"/>
      <w:bookmarkStart w:id="282" w:name="_Toc18897"/>
      <w:bookmarkStart w:id="283" w:name="_Toc19611"/>
      <w:r>
        <w:rPr>
          <w:rFonts w:hint="eastAsia" w:asciiTheme="minorEastAsia" w:hAnsiTheme="minorEastAsia" w:eastAsiaTheme="minorEastAsia" w:cstheme="minorEastAsia"/>
          <w:b/>
          <w:color w:val="000000"/>
          <w:sz w:val="28"/>
          <w:szCs w:val="28"/>
          <w:lang w:val="en-US"/>
        </w:rPr>
        <w:t>【享受主体】</w:t>
      </w:r>
      <w:bookmarkEnd w:id="277"/>
      <w:bookmarkEnd w:id="278"/>
      <w:bookmarkEnd w:id="279"/>
      <w:bookmarkEnd w:id="280"/>
      <w:bookmarkEnd w:id="281"/>
      <w:bookmarkEnd w:id="282"/>
      <w:bookmarkEnd w:id="283"/>
    </w:p>
    <w:p>
      <w:pPr>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bCs/>
          <w:color w:val="000000"/>
          <w:sz w:val="28"/>
          <w:szCs w:val="28"/>
          <w:lang w:val="en-US" w:eastAsia="zh-CN"/>
        </w:rPr>
      </w:pPr>
      <w:bookmarkStart w:id="284" w:name="_Toc7475"/>
      <w:bookmarkStart w:id="285" w:name="_Toc31240"/>
      <w:bookmarkStart w:id="286" w:name="_Toc16092"/>
      <w:bookmarkStart w:id="287" w:name="_Toc27045"/>
      <w:bookmarkStart w:id="288" w:name="_Toc1313"/>
      <w:bookmarkStart w:id="289" w:name="_Toc2836"/>
      <w:bookmarkStart w:id="290" w:name="_Toc1955"/>
      <w:r>
        <w:rPr>
          <w:rFonts w:hint="eastAsia" w:asciiTheme="minorEastAsia" w:hAnsiTheme="minorEastAsia" w:eastAsiaTheme="minorEastAsia" w:cstheme="minorEastAsia"/>
          <w:bCs/>
          <w:color w:val="000000"/>
          <w:sz w:val="28"/>
          <w:szCs w:val="28"/>
          <w:lang w:val="en-US"/>
        </w:rPr>
        <w:t>符合条件的制造业中小微企业</w:t>
      </w:r>
      <w:bookmarkEnd w:id="284"/>
      <w:bookmarkEnd w:id="285"/>
      <w:bookmarkEnd w:id="286"/>
      <w:bookmarkEnd w:id="287"/>
      <w:bookmarkEnd w:id="288"/>
      <w:bookmarkEnd w:id="289"/>
      <w:bookmarkEnd w:id="290"/>
      <w:bookmarkStart w:id="291" w:name="_Toc14795"/>
      <w:bookmarkStart w:id="292" w:name="_Toc11511"/>
      <w:bookmarkStart w:id="293" w:name="_Toc9244"/>
      <w:bookmarkStart w:id="294" w:name="_Toc12810"/>
      <w:bookmarkStart w:id="295" w:name="_Toc29277"/>
      <w:bookmarkStart w:id="296" w:name="_Toc30109"/>
      <w:bookmarkStart w:id="297" w:name="_Toc7066"/>
      <w:r>
        <w:rPr>
          <w:rFonts w:hint="eastAsia" w:asciiTheme="minorEastAsia" w:hAnsiTheme="minorEastAsia" w:eastAsiaTheme="minorEastAsia" w:cstheme="minorEastAsia"/>
          <w:bCs/>
          <w:color w:val="000000"/>
          <w:sz w:val="28"/>
          <w:szCs w:val="28"/>
          <w:lang w:val="en-US" w:eastAsia="zh-CN"/>
        </w:rPr>
        <w:t>（含个人独资企业、合伙企业、个体工商户）</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【优惠内容】</w:t>
      </w:r>
      <w:bookmarkEnd w:id="291"/>
      <w:bookmarkEnd w:id="292"/>
      <w:bookmarkEnd w:id="293"/>
      <w:bookmarkEnd w:id="294"/>
      <w:bookmarkEnd w:id="295"/>
      <w:bookmarkEnd w:id="296"/>
      <w:bookmarkEnd w:id="297"/>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Cs/>
          <w:color w:val="000000"/>
          <w:sz w:val="28"/>
          <w:szCs w:val="28"/>
          <w:lang w:val="en-US" w:eastAsia="zh-CN"/>
        </w:rPr>
        <w:t>在继续延缓缴纳2021年第四季度部分税费基础上，延缓缴纳2022年第一季度、第二季度部分税费：</w:t>
      </w:r>
      <w:r>
        <w:rPr>
          <w:rFonts w:hint="eastAsia" w:asciiTheme="minorEastAsia" w:hAnsiTheme="minorEastAsia" w:eastAsiaTheme="minorEastAsia" w:cstheme="minorEastAsia"/>
          <w:bCs/>
          <w:color w:val="000000"/>
          <w:sz w:val="28"/>
          <w:szCs w:val="28"/>
          <w:lang w:val="en-US"/>
        </w:rPr>
        <w:t>在依法办理纳税申报后，制造业中型企业可以延缓缴纳</w:t>
      </w:r>
      <w:r>
        <w:rPr>
          <w:rFonts w:hint="eastAsia" w:asciiTheme="minorEastAsia" w:hAnsiTheme="minorEastAsia" w:eastAsiaTheme="minorEastAsia" w:cstheme="minorEastAsia"/>
          <w:bCs/>
          <w:color w:val="000000"/>
          <w:sz w:val="28"/>
          <w:szCs w:val="28"/>
          <w:lang w:val="en-US" w:eastAsia="zh-CN"/>
        </w:rPr>
        <w:t>本政策</w:t>
      </w:r>
      <w:r>
        <w:rPr>
          <w:rFonts w:hint="eastAsia" w:asciiTheme="minorEastAsia" w:hAnsiTheme="minorEastAsia" w:eastAsiaTheme="minorEastAsia" w:cstheme="minorEastAsia"/>
          <w:bCs/>
          <w:color w:val="000000"/>
          <w:sz w:val="28"/>
          <w:szCs w:val="28"/>
          <w:lang w:val="en-US"/>
        </w:rPr>
        <w:t>规定的各项税费金额的50%，制造业小微企业可以延缓缴纳</w:t>
      </w:r>
      <w:r>
        <w:rPr>
          <w:rFonts w:hint="eastAsia" w:asciiTheme="minorEastAsia" w:hAnsiTheme="minorEastAsia" w:eastAsiaTheme="minorEastAsia" w:cstheme="minorEastAsia"/>
          <w:bCs/>
          <w:color w:val="000000"/>
          <w:sz w:val="28"/>
          <w:szCs w:val="28"/>
          <w:lang w:val="en-US" w:eastAsia="zh-CN"/>
        </w:rPr>
        <w:t>本政策</w:t>
      </w:r>
      <w:r>
        <w:rPr>
          <w:rFonts w:hint="eastAsia" w:asciiTheme="minorEastAsia" w:hAnsiTheme="minorEastAsia" w:eastAsiaTheme="minorEastAsia" w:cstheme="minorEastAsia"/>
          <w:bCs/>
          <w:color w:val="000000"/>
          <w:sz w:val="28"/>
          <w:szCs w:val="28"/>
          <w:lang w:val="en-US"/>
        </w:rPr>
        <w:t>规定的全部税费，延缓的期限为6个月。延缓期限届满，纳税人应依法缴纳相应月份或者季度的税费。</w:t>
      </w:r>
      <w:bookmarkStart w:id="298" w:name="_Toc2766"/>
      <w:bookmarkStart w:id="299" w:name="_Toc15807"/>
      <w:bookmarkStart w:id="300" w:name="_Toc17273"/>
      <w:bookmarkStart w:id="301" w:name="_Toc28632"/>
      <w:bookmarkStart w:id="302" w:name="_Toc11201"/>
      <w:bookmarkStart w:id="303" w:name="_Toc15895"/>
      <w:bookmarkStart w:id="304" w:name="_Toc19473"/>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9"/>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【享受条件】</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bCs/>
          <w:color w:val="000000"/>
          <w:sz w:val="28"/>
          <w:szCs w:val="28"/>
          <w:lang w:val="en-US"/>
        </w:rPr>
        <w:t>1.制造业中型企业是指国民经济行业分类中行业门类为制造业，且年销售额2000万元以上（含2000万元）4亿元以下（不含4</w:t>
      </w:r>
      <w:r>
        <w:rPr>
          <w:rFonts w:hint="eastAsia" w:asciiTheme="minorEastAsia" w:hAnsiTheme="minorEastAsia" w:eastAsiaTheme="minorEastAsia" w:cstheme="minorEastAsia"/>
          <w:bCs/>
          <w:color w:val="000000"/>
          <w:sz w:val="28"/>
          <w:szCs w:val="28"/>
          <w:lang w:val="en-US" w:eastAsia="zh-CN"/>
        </w:rPr>
        <w:t>亿元的企业）。制造业小微企业是指国民经济行业分类中行业门</w:t>
      </w:r>
      <w:r>
        <w:rPr>
          <w:rFonts w:hint="eastAsia" w:asciiTheme="minorEastAsia" w:hAnsiTheme="minorEastAsia" w:eastAsiaTheme="minorEastAsia" w:cstheme="minorEastAsia"/>
          <w:bCs/>
          <w:color w:val="000000"/>
          <w:sz w:val="28"/>
          <w:szCs w:val="28"/>
          <w:lang w:val="en-US"/>
        </w:rPr>
        <w:t>类为制造业，且年销售额2000万元以下（不含2000万元）的企</w:t>
      </w:r>
      <w:r>
        <w:rPr>
          <w:rFonts w:hint="eastAsia" w:asciiTheme="minorEastAsia" w:hAnsiTheme="minorEastAsia" w:eastAsiaTheme="minorEastAsia" w:cstheme="minorEastAsia"/>
          <w:color w:val="000000"/>
          <w:sz w:val="28"/>
          <w:szCs w:val="28"/>
        </w:rPr>
        <w:t>业。</w:t>
      </w:r>
      <w:bookmarkEnd w:id="298"/>
      <w:bookmarkEnd w:id="299"/>
      <w:bookmarkEnd w:id="300"/>
      <w:bookmarkEnd w:id="301"/>
      <w:bookmarkEnd w:id="302"/>
      <w:bookmarkEnd w:id="303"/>
      <w:bookmarkEnd w:id="304"/>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销售额是指应征增值税销售额，包括纳税申报销售额、稽查查补销售额、纳税评估调整销售额。适用增值税差额征税政策的，以差额后的销售额确定。</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rPr>
        <w:t>2.</w:t>
      </w:r>
      <w:r>
        <w:rPr>
          <w:rFonts w:hint="eastAsia" w:asciiTheme="minorEastAsia" w:hAnsiTheme="minorEastAsia" w:eastAsiaTheme="minorEastAsia" w:cstheme="minorEastAsia"/>
          <w:color w:val="000000"/>
          <w:sz w:val="28"/>
          <w:szCs w:val="28"/>
        </w:rPr>
        <w:t>制造业中小微企业年销售额按以下方式确定：</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截至2021年12月31日成立满一年的企业，按照所属期为2021年1月至2021年12月的销售额确定。</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截至2021年12月31日成立不满一年的企业，按照所属期截至2021年12月31日的销售额/实际经营月份×12个月的销售额确定。</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2022年1月1日及以后成立的企业，按照实际申报期销售额/实际经营月份×12个月的销售额确定。</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rPr>
        <w:t>3.</w:t>
      </w:r>
      <w:r>
        <w:rPr>
          <w:rFonts w:hint="eastAsia" w:asciiTheme="minorEastAsia" w:hAnsiTheme="minorEastAsia" w:eastAsiaTheme="minorEastAsia" w:cstheme="minorEastAsia"/>
          <w:color w:val="000000"/>
          <w:sz w:val="28"/>
          <w:szCs w:val="28"/>
        </w:rPr>
        <w:t>延缓缴纳的税费包括所属期为2022年1月、2月、3月、4月、5月、6月（按月缴纳）或者2022年第一季度、第二季度（按季缴纳）的企业所得税、个人所得税、国内增值税、国内消费税及附征的城市维护建设税、教育费附加、地方教育附加，不包括代扣代缴、代收代缴以及向税务机关申请代开发票时缴纳的</w:t>
      </w:r>
      <w:r>
        <w:rPr>
          <w:rFonts w:hint="eastAsia" w:asciiTheme="minorEastAsia" w:hAnsiTheme="minorEastAsia" w:eastAsiaTheme="minorEastAsia" w:cstheme="minorEastAsia"/>
          <w:color w:val="000000"/>
          <w:sz w:val="28"/>
          <w:szCs w:val="28"/>
          <w:lang w:eastAsia="zh-CN"/>
        </w:rPr>
        <w:t>税</w:t>
      </w:r>
      <w:r>
        <w:rPr>
          <w:rFonts w:hint="eastAsia" w:asciiTheme="minorEastAsia" w:hAnsiTheme="minorEastAsia" w:eastAsiaTheme="minorEastAsia" w:cstheme="minorEastAsia"/>
          <w:color w:val="000000"/>
          <w:sz w:val="28"/>
          <w:szCs w:val="28"/>
        </w:rPr>
        <w:t>费。</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对于在《国家税务总局 财政部关于延续实施制造业中小微企业延缓缴纳部分税费有关事项的公告》（2022年第2号）施行前已缴纳入库的所属期为2022年1月的上述税费，企业可自愿选择申请办理退税（费）并享受缓缴政策。</w:t>
      </w:r>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【政策依据】</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《国家税务总局 财政部关于延续实施制造业中小微企业延缓缴纳部分税费有关事项的公告》（2022年第2号）</w:t>
      </w:r>
    </w:p>
    <w:p>
      <w:pPr>
        <w:pStyle w:val="2"/>
        <w:rPr>
          <w:rFonts w:hint="eastAsia"/>
          <w:lang w:val="en-US"/>
        </w:rPr>
      </w:pPr>
    </w:p>
    <w:p>
      <w:pPr>
        <w:pStyle w:val="4"/>
        <w:keepNext w:val="0"/>
        <w:keepLines w:val="0"/>
        <w:pageBreakBefore w:val="0"/>
        <w:widowControl w:val="0"/>
        <w:tabs>
          <w:tab w:val="left" w:pos="484"/>
        </w:tabs>
        <w:kinsoku/>
        <w:wordWrap/>
        <w:overflowPunct/>
        <w:topLinePunct w:val="0"/>
        <w:bidi w:val="0"/>
        <w:adjustRightInd/>
        <w:snapToGrid/>
        <w:spacing w:line="600" w:lineRule="exact"/>
        <w:ind w:left="0" w:firstLine="281" w:firstLineChars="100"/>
        <w:jc w:val="both"/>
        <w:textAlignment w:val="auto"/>
        <w:rPr>
          <w:rFonts w:hint="eastAsia" w:asciiTheme="minorEastAsia" w:hAnsiTheme="minorEastAsia" w:eastAsiaTheme="minorEastAsia" w:cstheme="minorEastAsia"/>
          <w:color w:val="000000"/>
          <w:sz w:val="28"/>
          <w:szCs w:val="28"/>
          <w:lang w:val="en-US"/>
        </w:rPr>
      </w:pPr>
      <w:bookmarkStart w:id="305" w:name="_Toc21083"/>
      <w:bookmarkStart w:id="306" w:name="_Toc1691311573"/>
      <w:bookmarkStart w:id="307" w:name="_Toc1410343974"/>
      <w:bookmarkStart w:id="308" w:name="_Toc25619"/>
      <w:bookmarkStart w:id="309" w:name="_Toc982743831"/>
      <w:bookmarkStart w:id="310" w:name="_Toc1602906786"/>
      <w:r>
        <w:rPr>
          <w:rFonts w:hint="eastAsia" w:asciiTheme="minorEastAsia" w:hAnsiTheme="minorEastAsia" w:eastAsiaTheme="minorEastAsia" w:cstheme="minorEastAsia"/>
          <w:color w:val="000000"/>
          <w:sz w:val="28"/>
          <w:szCs w:val="28"/>
          <w:lang w:val="en-US" w:eastAsia="zh-CN"/>
        </w:rPr>
        <w:t>（十二）帮扶服务业小微企业和个体工商户纾困发展房产税和城镇土地使用税政策</w:t>
      </w:r>
      <w:bookmarkEnd w:id="305"/>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【享受主体】</w:t>
      </w:r>
    </w:p>
    <w:p>
      <w:pPr>
        <w:keepNext w:val="0"/>
        <w:keepLines w:val="0"/>
        <w:pageBreakBefore w:val="0"/>
        <w:widowControl w:val="0"/>
        <w:kinsoku/>
        <w:wordWrap/>
        <w:overflowPunct/>
        <w:topLinePunct w:val="0"/>
        <w:bidi w:val="0"/>
        <w:adjustRightInd/>
        <w:snapToGrid/>
        <w:spacing w:line="600" w:lineRule="exact"/>
        <w:ind w:firstLine="584" w:firstLineChars="200"/>
        <w:jc w:val="both"/>
        <w:textAlignment w:val="auto"/>
        <w:outlineLvl w:val="2"/>
        <w:rPr>
          <w:rFonts w:hint="eastAsia" w:asciiTheme="minorEastAsia" w:hAnsiTheme="minorEastAsia" w:eastAsiaTheme="minorEastAsia" w:cstheme="minorEastAsia"/>
          <w:color w:val="auto"/>
          <w:spacing w:val="6"/>
          <w:sz w:val="28"/>
          <w:szCs w:val="28"/>
          <w:lang w:val="en-US" w:eastAsia="zh-CN"/>
        </w:rPr>
      </w:pPr>
      <w:r>
        <w:rPr>
          <w:rFonts w:hint="eastAsia" w:asciiTheme="minorEastAsia" w:hAnsiTheme="minorEastAsia" w:eastAsiaTheme="minorEastAsia" w:cstheme="minorEastAsia"/>
          <w:color w:val="auto"/>
          <w:spacing w:val="6"/>
          <w:sz w:val="28"/>
          <w:szCs w:val="28"/>
          <w:lang w:val="en-US" w:eastAsia="zh-CN"/>
        </w:rPr>
        <w:t>减免服务业小微企业和个体工商户租金的房屋业主</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color w:val="000000"/>
          <w:sz w:val="28"/>
          <w:szCs w:val="28"/>
        </w:rPr>
        <w:t>【优惠内容】</w:t>
      </w:r>
    </w:p>
    <w:p>
      <w:pPr>
        <w:keepNext w:val="0"/>
        <w:keepLines w:val="0"/>
        <w:pageBreakBefore w:val="0"/>
        <w:widowControl w:val="0"/>
        <w:kinsoku/>
        <w:wordWrap/>
        <w:overflowPunct/>
        <w:topLinePunct w:val="0"/>
        <w:bidi w:val="0"/>
        <w:adjustRightInd/>
        <w:snapToGrid/>
        <w:spacing w:line="600" w:lineRule="exact"/>
        <w:jc w:val="both"/>
        <w:textAlignment w:val="auto"/>
        <w:outlineLvl w:val="2"/>
        <w:rPr>
          <w:rFonts w:hint="eastAsia" w:asciiTheme="minorEastAsia" w:hAnsiTheme="minorEastAsia" w:eastAsiaTheme="minorEastAsia" w:cstheme="minorEastAsia"/>
          <w:color w:val="auto"/>
          <w:spacing w:val="6"/>
          <w:sz w:val="28"/>
          <w:szCs w:val="28"/>
        </w:rPr>
      </w:pPr>
      <w:r>
        <w:rPr>
          <w:rFonts w:hint="eastAsia" w:asciiTheme="minorEastAsia" w:hAnsiTheme="minorEastAsia" w:eastAsiaTheme="minorEastAsia" w:cstheme="minorEastAsia"/>
          <w:color w:val="auto"/>
          <w:spacing w:val="6"/>
          <w:sz w:val="28"/>
          <w:szCs w:val="28"/>
          <w:lang w:val="en-US" w:eastAsia="zh-CN"/>
        </w:rPr>
        <w:t xml:space="preserve">    </w:t>
      </w:r>
      <w:r>
        <w:rPr>
          <w:rFonts w:hint="eastAsia" w:asciiTheme="minorEastAsia" w:hAnsiTheme="minorEastAsia" w:eastAsiaTheme="minorEastAsia" w:cstheme="minorEastAsia"/>
          <w:color w:val="auto"/>
          <w:spacing w:val="6"/>
          <w:sz w:val="28"/>
          <w:szCs w:val="28"/>
        </w:rPr>
        <w:t>202</w:t>
      </w:r>
      <w:r>
        <w:rPr>
          <w:rFonts w:hint="eastAsia" w:asciiTheme="minorEastAsia" w:hAnsiTheme="minorEastAsia" w:eastAsiaTheme="minorEastAsia" w:cstheme="minorEastAsia"/>
          <w:color w:val="auto"/>
          <w:spacing w:val="6"/>
          <w:sz w:val="28"/>
          <w:szCs w:val="28"/>
          <w:lang w:val="en-US" w:eastAsia="zh-CN"/>
        </w:rPr>
        <w:t>2</w:t>
      </w:r>
      <w:r>
        <w:rPr>
          <w:rFonts w:hint="eastAsia" w:asciiTheme="minorEastAsia" w:hAnsiTheme="minorEastAsia" w:eastAsiaTheme="minorEastAsia" w:cstheme="minorEastAsia"/>
          <w:color w:val="auto"/>
          <w:spacing w:val="6"/>
          <w:sz w:val="28"/>
          <w:szCs w:val="28"/>
        </w:rPr>
        <w:t>年1月1日至202</w:t>
      </w:r>
      <w:r>
        <w:rPr>
          <w:rFonts w:hint="eastAsia" w:asciiTheme="minorEastAsia" w:hAnsiTheme="minorEastAsia" w:eastAsiaTheme="minorEastAsia" w:cstheme="minorEastAsia"/>
          <w:color w:val="auto"/>
          <w:spacing w:val="6"/>
          <w:sz w:val="28"/>
          <w:szCs w:val="28"/>
          <w:lang w:val="en-US" w:eastAsia="zh-CN"/>
        </w:rPr>
        <w:t>2</w:t>
      </w:r>
      <w:r>
        <w:rPr>
          <w:rFonts w:hint="eastAsia" w:asciiTheme="minorEastAsia" w:hAnsiTheme="minorEastAsia" w:eastAsiaTheme="minorEastAsia" w:cstheme="minorEastAsia"/>
          <w:color w:val="auto"/>
          <w:spacing w:val="6"/>
          <w:sz w:val="28"/>
          <w:szCs w:val="28"/>
        </w:rPr>
        <w:t>年12月31日</w:t>
      </w:r>
      <w:r>
        <w:rPr>
          <w:rFonts w:hint="eastAsia" w:asciiTheme="minorEastAsia" w:hAnsiTheme="minorEastAsia" w:eastAsiaTheme="minorEastAsia" w:cstheme="minorEastAsia"/>
          <w:color w:val="auto"/>
          <w:spacing w:val="6"/>
          <w:sz w:val="28"/>
          <w:szCs w:val="28"/>
          <w:lang w:eastAsia="zh-CN"/>
        </w:rPr>
        <w:t>，</w:t>
      </w:r>
      <w:r>
        <w:rPr>
          <w:rFonts w:hint="eastAsia" w:asciiTheme="minorEastAsia" w:hAnsiTheme="minorEastAsia" w:eastAsiaTheme="minorEastAsia" w:cstheme="minorEastAsia"/>
          <w:color w:val="auto"/>
          <w:spacing w:val="6"/>
          <w:sz w:val="28"/>
          <w:szCs w:val="28"/>
        </w:rPr>
        <w:t>为服务业小微企业和个体工商户减免租金的房屋业主（含单位和个人），免租期间（以减租方式减免租金的可换算成免租期）免征相应出租房产的房产税和城镇土地使用税。</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right="0" w:rightChars="0" w:firstLine="584" w:firstLineChars="200"/>
        <w:jc w:val="both"/>
        <w:textAlignment w:val="auto"/>
        <w:outlineLvl w:val="9"/>
        <w:rPr>
          <w:rFonts w:hint="eastAsia" w:asciiTheme="minorEastAsia" w:hAnsiTheme="minorEastAsia" w:eastAsiaTheme="minorEastAsia" w:cstheme="minorEastAsia"/>
          <w:color w:val="auto"/>
          <w:spacing w:val="6"/>
          <w:sz w:val="28"/>
          <w:szCs w:val="28"/>
          <w:lang w:eastAsia="zh-CN"/>
        </w:rPr>
      </w:pPr>
      <w:r>
        <w:rPr>
          <w:rFonts w:hint="eastAsia" w:asciiTheme="minorEastAsia" w:hAnsiTheme="minorEastAsia" w:eastAsiaTheme="minorEastAsia" w:cstheme="minorEastAsia"/>
          <w:color w:val="auto"/>
          <w:spacing w:val="6"/>
          <w:sz w:val="28"/>
          <w:szCs w:val="28"/>
        </w:rPr>
        <w:t>服务业</w:t>
      </w:r>
      <w:r>
        <w:rPr>
          <w:rFonts w:hint="eastAsia" w:asciiTheme="minorEastAsia" w:hAnsiTheme="minorEastAsia" w:eastAsiaTheme="minorEastAsia" w:cstheme="minorEastAsia"/>
          <w:color w:val="auto"/>
          <w:spacing w:val="6"/>
          <w:sz w:val="28"/>
          <w:szCs w:val="28"/>
          <w:lang w:val="en"/>
        </w:rPr>
        <w:t>是指</w:t>
      </w:r>
      <w:r>
        <w:rPr>
          <w:rFonts w:hint="eastAsia" w:asciiTheme="minorEastAsia" w:hAnsiTheme="minorEastAsia" w:eastAsiaTheme="minorEastAsia" w:cstheme="minorEastAsia"/>
          <w:color w:val="auto"/>
          <w:spacing w:val="6"/>
          <w:sz w:val="28"/>
          <w:szCs w:val="28"/>
          <w:lang w:val="en" w:eastAsia="zh-CN"/>
        </w:rPr>
        <w:t>：</w:t>
      </w:r>
      <w:r>
        <w:rPr>
          <w:rFonts w:hint="eastAsia" w:asciiTheme="minorEastAsia" w:hAnsiTheme="minorEastAsia" w:eastAsiaTheme="minorEastAsia" w:cstheme="minorEastAsia"/>
          <w:color w:val="auto"/>
          <w:spacing w:val="6"/>
          <w:sz w:val="28"/>
          <w:szCs w:val="28"/>
          <w:lang w:val="en"/>
        </w:rPr>
        <w:t>《国家统计局关于修订〈三次产业划分规定（2012）的通知〉（国统设管函</w:t>
      </w:r>
      <w:r>
        <w:rPr>
          <w:rFonts w:hint="eastAsia" w:asciiTheme="minorEastAsia" w:hAnsiTheme="minorEastAsia" w:eastAsiaTheme="minorEastAsia" w:cstheme="minorEastAsia"/>
          <w:color w:val="auto"/>
          <w:spacing w:val="6"/>
          <w:sz w:val="28"/>
          <w:szCs w:val="28"/>
          <w:lang w:eastAsia="zh-CN"/>
        </w:rPr>
        <w:t>〔20</w:t>
      </w:r>
      <w:r>
        <w:rPr>
          <w:rFonts w:hint="eastAsia" w:asciiTheme="minorEastAsia" w:hAnsiTheme="minorEastAsia" w:eastAsiaTheme="minorEastAsia" w:cstheme="minorEastAsia"/>
          <w:color w:val="auto"/>
          <w:spacing w:val="6"/>
          <w:sz w:val="28"/>
          <w:szCs w:val="28"/>
          <w:lang w:val="en" w:eastAsia="zh-CN"/>
        </w:rPr>
        <w:t>18</w:t>
      </w:r>
      <w:r>
        <w:rPr>
          <w:rFonts w:hint="eastAsia" w:asciiTheme="minorEastAsia" w:hAnsiTheme="minorEastAsia" w:eastAsiaTheme="minorEastAsia" w:cstheme="minorEastAsia"/>
          <w:color w:val="auto"/>
          <w:spacing w:val="6"/>
          <w:sz w:val="28"/>
          <w:szCs w:val="28"/>
          <w:lang w:eastAsia="zh-CN"/>
        </w:rPr>
        <w:t>〕</w:t>
      </w:r>
      <w:r>
        <w:rPr>
          <w:rFonts w:hint="eastAsia" w:asciiTheme="minorEastAsia" w:hAnsiTheme="minorEastAsia" w:eastAsiaTheme="minorEastAsia" w:cstheme="minorEastAsia"/>
          <w:color w:val="auto"/>
          <w:spacing w:val="6"/>
          <w:sz w:val="28"/>
          <w:szCs w:val="28"/>
          <w:lang w:val="en" w:eastAsia="zh-CN"/>
        </w:rPr>
        <w:t>74</w:t>
      </w:r>
      <w:r>
        <w:rPr>
          <w:rFonts w:hint="eastAsia" w:asciiTheme="minorEastAsia" w:hAnsiTheme="minorEastAsia" w:eastAsiaTheme="minorEastAsia" w:cstheme="minorEastAsia"/>
          <w:color w:val="auto"/>
          <w:spacing w:val="6"/>
          <w:sz w:val="28"/>
          <w:szCs w:val="28"/>
          <w:lang w:eastAsia="zh-CN"/>
        </w:rPr>
        <w:t>号</w:t>
      </w:r>
      <w:r>
        <w:rPr>
          <w:rFonts w:hint="eastAsia" w:asciiTheme="minorEastAsia" w:hAnsiTheme="minorEastAsia" w:eastAsiaTheme="minorEastAsia" w:cstheme="minorEastAsia"/>
          <w:color w:val="auto"/>
          <w:spacing w:val="6"/>
          <w:sz w:val="28"/>
          <w:szCs w:val="28"/>
          <w:lang w:val="en"/>
        </w:rPr>
        <w:t>）》确定的第三产业</w:t>
      </w:r>
      <w:r>
        <w:rPr>
          <w:rFonts w:hint="eastAsia" w:asciiTheme="minorEastAsia" w:hAnsiTheme="minorEastAsia" w:eastAsiaTheme="minorEastAsia" w:cstheme="minorEastAsia"/>
          <w:color w:val="auto"/>
          <w:spacing w:val="6"/>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right="0" w:rightChars="0" w:firstLine="584" w:firstLineChars="200"/>
        <w:jc w:val="both"/>
        <w:textAlignment w:val="auto"/>
        <w:outlineLvl w:val="9"/>
        <w:rPr>
          <w:rFonts w:hint="eastAsia" w:asciiTheme="minorEastAsia" w:hAnsiTheme="minorEastAsia" w:eastAsiaTheme="minorEastAsia" w:cstheme="minorEastAsia"/>
          <w:color w:val="auto"/>
          <w:spacing w:val="6"/>
          <w:sz w:val="28"/>
          <w:szCs w:val="28"/>
        </w:rPr>
      </w:pPr>
      <w:r>
        <w:rPr>
          <w:rFonts w:hint="eastAsia" w:asciiTheme="minorEastAsia" w:hAnsiTheme="minorEastAsia" w:eastAsiaTheme="minorEastAsia" w:cstheme="minorEastAsia"/>
          <w:color w:val="auto"/>
          <w:spacing w:val="6"/>
          <w:sz w:val="28"/>
          <w:szCs w:val="28"/>
        </w:rPr>
        <w:t>小微企业是指</w:t>
      </w:r>
      <w:r>
        <w:rPr>
          <w:rFonts w:hint="eastAsia" w:asciiTheme="minorEastAsia" w:hAnsiTheme="minorEastAsia" w:eastAsiaTheme="minorEastAsia" w:cstheme="minorEastAsia"/>
          <w:color w:val="auto"/>
          <w:spacing w:val="6"/>
          <w:sz w:val="28"/>
          <w:szCs w:val="28"/>
          <w:lang w:eastAsia="zh-CN"/>
        </w:rPr>
        <w:t>：</w:t>
      </w:r>
      <w:r>
        <w:rPr>
          <w:rFonts w:hint="eastAsia" w:asciiTheme="minorEastAsia" w:hAnsiTheme="minorEastAsia" w:eastAsiaTheme="minorEastAsia" w:cstheme="minorEastAsia"/>
          <w:color w:val="auto"/>
          <w:spacing w:val="6"/>
          <w:sz w:val="28"/>
          <w:szCs w:val="28"/>
          <w:lang w:val="en" w:eastAsia="zh-CN"/>
        </w:rPr>
        <w:t>参照《工业和信息化部 国家统计局</w:t>
      </w:r>
      <w:r>
        <w:rPr>
          <w:rFonts w:hint="eastAsia" w:asciiTheme="minorEastAsia" w:hAnsiTheme="minorEastAsia" w:eastAsiaTheme="minorEastAsia" w:cstheme="minorEastAsia"/>
          <w:color w:val="auto"/>
          <w:spacing w:val="6"/>
          <w:sz w:val="28"/>
          <w:szCs w:val="28"/>
          <w:lang w:val="en-US" w:eastAsia="zh-CN"/>
        </w:rPr>
        <w:t xml:space="preserve"> </w:t>
      </w:r>
      <w:r>
        <w:rPr>
          <w:rFonts w:hint="eastAsia" w:asciiTheme="minorEastAsia" w:hAnsiTheme="minorEastAsia" w:eastAsiaTheme="minorEastAsia" w:cstheme="minorEastAsia"/>
          <w:color w:val="auto"/>
          <w:spacing w:val="6"/>
          <w:sz w:val="28"/>
          <w:szCs w:val="28"/>
          <w:lang w:val="en" w:eastAsia="zh-CN"/>
        </w:rPr>
        <w:t>国家发展和改革委员会 财政部关于印发中小企业划型标准规定的通知》</w:t>
      </w:r>
      <w:r>
        <w:rPr>
          <w:rFonts w:hint="eastAsia" w:asciiTheme="minorEastAsia" w:hAnsiTheme="minorEastAsia" w:eastAsiaTheme="minorEastAsia" w:cstheme="minorEastAsia"/>
          <w:color w:val="auto"/>
          <w:spacing w:val="6"/>
          <w:sz w:val="28"/>
          <w:szCs w:val="28"/>
          <w:lang w:val="en"/>
        </w:rPr>
        <w:t>（工信部联企业〔2011〕300号）</w:t>
      </w:r>
      <w:r>
        <w:rPr>
          <w:rFonts w:hint="eastAsia" w:asciiTheme="minorEastAsia" w:hAnsiTheme="minorEastAsia" w:eastAsiaTheme="minorEastAsia" w:cstheme="minorEastAsia"/>
          <w:color w:val="auto"/>
          <w:spacing w:val="6"/>
          <w:sz w:val="28"/>
          <w:szCs w:val="28"/>
          <w:lang w:val="en" w:eastAsia="zh-CN"/>
        </w:rPr>
        <w:t>规定划分的</w:t>
      </w:r>
      <w:r>
        <w:rPr>
          <w:rFonts w:hint="eastAsia" w:asciiTheme="minorEastAsia" w:hAnsiTheme="minorEastAsia" w:eastAsiaTheme="minorEastAsia" w:cstheme="minorEastAsia"/>
          <w:color w:val="auto"/>
          <w:spacing w:val="6"/>
          <w:sz w:val="28"/>
          <w:szCs w:val="28"/>
          <w:lang w:eastAsia="zh-CN"/>
        </w:rPr>
        <w:t>小型企业和微型企业</w:t>
      </w:r>
      <w:r>
        <w:rPr>
          <w:rFonts w:hint="eastAsia" w:asciiTheme="minorEastAsia" w:hAnsiTheme="minorEastAsia" w:eastAsiaTheme="minorEastAsia" w:cstheme="minorEastAsia"/>
          <w:color w:val="auto"/>
          <w:spacing w:val="6"/>
          <w:sz w:val="28"/>
          <w:szCs w:val="28"/>
        </w:rPr>
        <w:t>。</w:t>
      </w:r>
    </w:p>
    <w:p>
      <w:pPr>
        <w:keepNext w:val="0"/>
        <w:keepLines w:val="0"/>
        <w:pageBreakBefore w:val="0"/>
        <w:widowControl w:val="0"/>
        <w:kinsoku/>
        <w:wordWrap/>
        <w:overflowPunct/>
        <w:topLinePunct w:val="0"/>
        <w:autoSpaceDE/>
        <w:autoSpaceDN/>
        <w:bidi w:val="0"/>
        <w:adjustRightInd/>
        <w:snapToGrid/>
        <w:spacing w:after="0" w:line="590" w:lineRule="exact"/>
        <w:ind w:right="0" w:rightChars="0" w:firstLine="584" w:firstLineChars="200"/>
        <w:jc w:val="both"/>
        <w:textAlignment w:val="auto"/>
        <w:outlineLvl w:val="9"/>
        <w:rPr>
          <w:rFonts w:hint="eastAsia" w:asciiTheme="minorEastAsia" w:hAnsiTheme="minorEastAsia" w:eastAsiaTheme="minorEastAsia" w:cstheme="minorEastAsia"/>
          <w:color w:val="auto"/>
          <w:spacing w:val="6"/>
          <w:sz w:val="28"/>
          <w:szCs w:val="28"/>
        </w:rPr>
      </w:pPr>
      <w:r>
        <w:rPr>
          <w:rFonts w:hint="eastAsia" w:asciiTheme="minorEastAsia" w:hAnsiTheme="minorEastAsia" w:eastAsiaTheme="minorEastAsia" w:cstheme="minorEastAsia"/>
          <w:color w:val="auto"/>
          <w:spacing w:val="6"/>
          <w:sz w:val="28"/>
          <w:szCs w:val="28"/>
        </w:rPr>
        <w:t>减免租金是指</w:t>
      </w:r>
      <w:r>
        <w:rPr>
          <w:rFonts w:hint="eastAsia" w:asciiTheme="minorEastAsia" w:hAnsiTheme="minorEastAsia" w:eastAsiaTheme="minorEastAsia" w:cstheme="minorEastAsia"/>
          <w:color w:val="auto"/>
          <w:spacing w:val="6"/>
          <w:sz w:val="28"/>
          <w:szCs w:val="28"/>
          <w:lang w:eastAsia="zh-CN"/>
        </w:rPr>
        <w:t>：</w:t>
      </w:r>
      <w:r>
        <w:rPr>
          <w:rFonts w:hint="eastAsia" w:asciiTheme="minorEastAsia" w:hAnsiTheme="minorEastAsia" w:eastAsiaTheme="minorEastAsia" w:cstheme="minorEastAsia"/>
          <w:color w:val="auto"/>
          <w:spacing w:val="6"/>
          <w:sz w:val="28"/>
          <w:szCs w:val="28"/>
        </w:rPr>
        <w:t>按月免收1个月（含）以上租金；通过定额或比例等其他方式减免租金，按照</w:t>
      </w:r>
      <w:r>
        <w:rPr>
          <w:rFonts w:hint="eastAsia" w:asciiTheme="minorEastAsia" w:hAnsiTheme="minorEastAsia" w:eastAsiaTheme="minorEastAsia" w:cstheme="minorEastAsia"/>
          <w:color w:val="auto"/>
          <w:spacing w:val="6"/>
          <w:sz w:val="28"/>
          <w:szCs w:val="28"/>
          <w:lang w:val="en-US" w:eastAsia="zh-CN"/>
        </w:rPr>
        <w:t>2022年</w:t>
      </w:r>
      <w:r>
        <w:rPr>
          <w:rFonts w:hint="eastAsia" w:asciiTheme="minorEastAsia" w:hAnsiTheme="minorEastAsia" w:eastAsiaTheme="minorEastAsia" w:cstheme="minorEastAsia"/>
          <w:color w:val="auto"/>
          <w:spacing w:val="6"/>
          <w:sz w:val="28"/>
          <w:szCs w:val="28"/>
        </w:rPr>
        <w:t>有效合同（协议）计算</w:t>
      </w:r>
      <w:r>
        <w:rPr>
          <w:rFonts w:hint="eastAsia" w:asciiTheme="minorEastAsia" w:hAnsiTheme="minorEastAsia" w:eastAsiaTheme="minorEastAsia" w:cstheme="minorEastAsia"/>
          <w:color w:val="auto"/>
          <w:spacing w:val="6"/>
          <w:sz w:val="28"/>
          <w:szCs w:val="28"/>
          <w:lang w:eastAsia="zh-CN"/>
        </w:rPr>
        <w:t>，减免金额</w:t>
      </w:r>
      <w:r>
        <w:rPr>
          <w:rFonts w:hint="eastAsia" w:asciiTheme="minorEastAsia" w:hAnsiTheme="minorEastAsia" w:eastAsiaTheme="minorEastAsia" w:cstheme="minorEastAsia"/>
          <w:color w:val="auto"/>
          <w:spacing w:val="6"/>
          <w:sz w:val="28"/>
          <w:szCs w:val="28"/>
        </w:rPr>
        <w:t>达到1个月（含）以上</w:t>
      </w:r>
      <w:r>
        <w:rPr>
          <w:rFonts w:hint="eastAsia" w:asciiTheme="minorEastAsia" w:hAnsiTheme="minorEastAsia" w:eastAsiaTheme="minorEastAsia" w:cstheme="minorEastAsia"/>
          <w:color w:val="auto"/>
          <w:spacing w:val="6"/>
          <w:sz w:val="28"/>
          <w:szCs w:val="28"/>
          <w:lang w:eastAsia="zh-CN"/>
        </w:rPr>
        <w:t>租金</w:t>
      </w:r>
      <w:r>
        <w:rPr>
          <w:rFonts w:hint="eastAsia" w:asciiTheme="minorEastAsia" w:hAnsiTheme="minorEastAsia" w:eastAsiaTheme="minorEastAsia" w:cstheme="minorEastAsia"/>
          <w:color w:val="auto"/>
          <w:spacing w:val="6"/>
          <w:sz w:val="28"/>
          <w:szCs w:val="28"/>
        </w:rPr>
        <w:t>。减免租金超过1个月但不足1个半月的，按1个月计算</w:t>
      </w:r>
      <w:r>
        <w:rPr>
          <w:rFonts w:hint="eastAsia" w:asciiTheme="minorEastAsia" w:hAnsiTheme="minorEastAsia" w:eastAsiaTheme="minorEastAsia" w:cstheme="minorEastAsia"/>
          <w:color w:val="auto"/>
          <w:spacing w:val="6"/>
          <w:sz w:val="28"/>
          <w:szCs w:val="28"/>
          <w:lang w:eastAsia="zh-CN"/>
        </w:rPr>
        <w:t>；</w:t>
      </w:r>
      <w:r>
        <w:rPr>
          <w:rFonts w:hint="eastAsia" w:asciiTheme="minorEastAsia" w:hAnsiTheme="minorEastAsia" w:eastAsiaTheme="minorEastAsia" w:cstheme="minorEastAsia"/>
          <w:color w:val="auto"/>
          <w:spacing w:val="6"/>
          <w:sz w:val="28"/>
          <w:szCs w:val="28"/>
        </w:rPr>
        <w:t>减免租金超过1个半月但不足2个月的，按2个月计算，以此类推。</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color w:val="000000"/>
          <w:sz w:val="28"/>
          <w:szCs w:val="28"/>
        </w:rPr>
        <w:t>【享受条件】</w:t>
      </w:r>
    </w:p>
    <w:p>
      <w:pPr>
        <w:keepNext w:val="0"/>
        <w:keepLines w:val="0"/>
        <w:pageBreakBefore w:val="0"/>
        <w:widowControl w:val="0"/>
        <w:kinsoku/>
        <w:wordWrap/>
        <w:overflowPunct/>
        <w:topLinePunct w:val="0"/>
        <w:autoSpaceDE/>
        <w:autoSpaceDN/>
        <w:bidi w:val="0"/>
        <w:adjustRightInd/>
        <w:snapToGrid/>
        <w:spacing w:after="0" w:line="590" w:lineRule="exact"/>
        <w:ind w:right="0" w:rightChars="0" w:firstLine="584" w:firstLineChars="200"/>
        <w:jc w:val="both"/>
        <w:textAlignment w:val="auto"/>
        <w:outlineLvl w:val="9"/>
        <w:rPr>
          <w:rFonts w:hint="eastAsia" w:asciiTheme="minorEastAsia" w:hAnsiTheme="minorEastAsia" w:eastAsiaTheme="minorEastAsia" w:cstheme="minorEastAsia"/>
          <w:color w:val="auto"/>
          <w:spacing w:val="6"/>
          <w:sz w:val="28"/>
          <w:szCs w:val="28"/>
        </w:rPr>
      </w:pPr>
      <w:r>
        <w:rPr>
          <w:rFonts w:hint="eastAsia" w:asciiTheme="minorEastAsia" w:hAnsiTheme="minorEastAsia" w:eastAsiaTheme="minorEastAsia" w:cstheme="minorEastAsia"/>
          <w:color w:val="auto"/>
          <w:spacing w:val="6"/>
          <w:sz w:val="28"/>
          <w:szCs w:val="28"/>
        </w:rPr>
        <w:t>符合免征条件的纳税人申报即享受是指</w:t>
      </w:r>
      <w:r>
        <w:rPr>
          <w:rFonts w:hint="eastAsia" w:asciiTheme="minorEastAsia" w:hAnsiTheme="minorEastAsia" w:eastAsiaTheme="minorEastAsia" w:cstheme="minorEastAsia"/>
          <w:color w:val="auto"/>
          <w:spacing w:val="6"/>
          <w:sz w:val="28"/>
          <w:szCs w:val="28"/>
          <w:lang w:eastAsia="zh-CN"/>
        </w:rPr>
        <w:t>：</w:t>
      </w:r>
      <w:r>
        <w:rPr>
          <w:rFonts w:hint="eastAsia" w:asciiTheme="minorEastAsia" w:hAnsiTheme="minorEastAsia" w:eastAsiaTheme="minorEastAsia" w:cstheme="minorEastAsia"/>
          <w:color w:val="auto"/>
          <w:spacing w:val="6"/>
          <w:sz w:val="28"/>
          <w:szCs w:val="28"/>
        </w:rPr>
        <w:t>纳税人根据具体政策规定自行判断是否符合优惠条件，符合条件的，纳税人申报享受税收优惠，将有关资料留存备查，并对申报情况、留存备查资料的真实性、合法性承担法律责任。纳税人应将减免租金协议、合同等资料留存备查。</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p>
      <w:pPr>
        <w:keepNext w:val="0"/>
        <w:keepLines w:val="0"/>
        <w:pageBreakBefore w:val="0"/>
        <w:widowControl w:val="0"/>
        <w:kinsoku/>
        <w:wordWrap/>
        <w:overflowPunct/>
        <w:topLinePunct w:val="0"/>
        <w:autoSpaceDE/>
        <w:autoSpaceDN/>
        <w:bidi w:val="0"/>
        <w:adjustRightInd/>
        <w:snapToGrid/>
        <w:spacing w:after="0" w:line="590" w:lineRule="exact"/>
        <w:ind w:right="0" w:rightChars="0" w:firstLine="584" w:firstLineChars="200"/>
        <w:jc w:val="both"/>
        <w:textAlignment w:val="auto"/>
        <w:outlineLvl w:val="9"/>
        <w:rPr>
          <w:rFonts w:hint="eastAsia" w:asciiTheme="minorEastAsia" w:hAnsiTheme="minorEastAsia" w:eastAsiaTheme="minorEastAsia" w:cstheme="minorEastAsia"/>
          <w:color w:val="auto"/>
          <w:spacing w:val="6"/>
          <w:sz w:val="28"/>
          <w:szCs w:val="28"/>
          <w:lang w:val="en-US" w:eastAsia="zh-CN"/>
        </w:rPr>
      </w:pPr>
      <w:r>
        <w:rPr>
          <w:rFonts w:hint="eastAsia" w:asciiTheme="minorEastAsia" w:hAnsiTheme="minorEastAsia" w:eastAsiaTheme="minorEastAsia" w:cstheme="minorEastAsia"/>
          <w:color w:val="auto"/>
          <w:spacing w:val="6"/>
          <w:sz w:val="28"/>
          <w:szCs w:val="28"/>
        </w:rPr>
        <w:t>《云南省财政厅 国家税务总局云南省税务局关于帮扶服务业小微企业和个体工商户纾困发展房产税和城镇土地使用税政策的公告</w:t>
      </w:r>
      <w:r>
        <w:rPr>
          <w:rFonts w:hint="eastAsia" w:asciiTheme="minorEastAsia" w:hAnsiTheme="minorEastAsia" w:eastAsiaTheme="minorEastAsia" w:cstheme="minorEastAsia"/>
          <w:color w:val="auto"/>
          <w:spacing w:val="6"/>
          <w:sz w:val="28"/>
          <w:szCs w:val="28"/>
          <w:lang w:eastAsia="zh-CN"/>
        </w:rPr>
        <w:t>》</w:t>
      </w:r>
      <w:r>
        <w:rPr>
          <w:rFonts w:hint="eastAsia" w:asciiTheme="minorEastAsia" w:hAnsiTheme="minorEastAsia" w:eastAsiaTheme="minorEastAsia" w:cstheme="minorEastAsia"/>
          <w:color w:val="auto"/>
          <w:spacing w:val="6"/>
          <w:sz w:val="28"/>
          <w:szCs w:val="28"/>
        </w:rPr>
        <w:t>（2022年第</w:t>
      </w:r>
      <w:r>
        <w:rPr>
          <w:rFonts w:hint="eastAsia" w:asciiTheme="minorEastAsia" w:hAnsiTheme="minorEastAsia" w:eastAsiaTheme="minorEastAsia" w:cstheme="minorEastAsia"/>
          <w:color w:val="auto"/>
          <w:spacing w:val="6"/>
          <w:sz w:val="28"/>
          <w:szCs w:val="28"/>
          <w:lang w:val="en-US" w:eastAsia="zh-CN"/>
        </w:rPr>
        <w:t>8</w:t>
      </w:r>
      <w:r>
        <w:rPr>
          <w:rFonts w:hint="eastAsia" w:asciiTheme="minorEastAsia" w:hAnsiTheme="minorEastAsia" w:eastAsiaTheme="minorEastAsia" w:cstheme="minorEastAsia"/>
          <w:color w:val="auto"/>
          <w:spacing w:val="6"/>
          <w:sz w:val="28"/>
          <w:szCs w:val="28"/>
        </w:rPr>
        <w:t>号）</w:t>
      </w:r>
    </w:p>
    <w:p>
      <w:pPr>
        <w:keepNext w:val="0"/>
        <w:keepLines w:val="0"/>
        <w:pageBreakBefore w:val="0"/>
        <w:widowControl w:val="0"/>
        <w:numPr>
          <w:ilvl w:val="0"/>
          <w:numId w:val="0"/>
        </w:numPr>
        <w:kinsoku/>
        <w:wordWrap/>
        <w:overflowPunct/>
        <w:topLinePunct w:val="0"/>
        <w:bidi w:val="0"/>
        <w:adjustRightInd/>
        <w:snapToGrid w:val="0"/>
        <w:spacing w:line="360" w:lineRule="auto"/>
        <w:ind w:firstLine="642" w:firstLineChars="200"/>
        <w:textAlignment w:val="auto"/>
        <w:outlineLvl w:val="0"/>
        <w:rPr>
          <w:rFonts w:hint="eastAsia" w:ascii="黑体" w:eastAsia="黑体"/>
          <w:b/>
          <w:bCs/>
          <w:color w:val="000000"/>
          <w:sz w:val="32"/>
          <w:szCs w:val="32"/>
          <w:lang w:val="en-US" w:eastAsia="zh-CN"/>
        </w:rPr>
      </w:pPr>
    </w:p>
    <w:p>
      <w:pPr>
        <w:keepNext w:val="0"/>
        <w:keepLines w:val="0"/>
        <w:pageBreakBefore w:val="0"/>
        <w:widowControl w:val="0"/>
        <w:numPr>
          <w:ilvl w:val="0"/>
          <w:numId w:val="0"/>
        </w:numPr>
        <w:kinsoku/>
        <w:wordWrap/>
        <w:overflowPunct/>
        <w:topLinePunct w:val="0"/>
        <w:bidi w:val="0"/>
        <w:adjustRightInd/>
        <w:snapToGrid w:val="0"/>
        <w:spacing w:line="360" w:lineRule="auto"/>
        <w:ind w:firstLine="642" w:firstLineChars="200"/>
        <w:textAlignment w:val="auto"/>
        <w:outlineLvl w:val="0"/>
        <w:rPr>
          <w:rFonts w:hint="eastAsia" w:ascii="黑体" w:eastAsia="黑体"/>
          <w:b/>
          <w:bCs/>
          <w:color w:val="000000"/>
          <w:sz w:val="32"/>
          <w:szCs w:val="32"/>
          <w:lang w:val="en-US" w:eastAsia="zh-CN"/>
        </w:rPr>
      </w:pPr>
      <w:bookmarkStart w:id="311" w:name="_Toc23048"/>
      <w:r>
        <w:rPr>
          <w:rFonts w:hint="eastAsia" w:ascii="黑体" w:eastAsia="黑体"/>
          <w:b/>
          <w:bCs/>
          <w:color w:val="000000"/>
          <w:sz w:val="32"/>
          <w:szCs w:val="32"/>
          <w:lang w:val="en-US" w:eastAsia="zh-CN"/>
        </w:rPr>
        <w:t>二、延续实施的税费支持政策</w:t>
      </w:r>
      <w:bookmarkEnd w:id="54"/>
      <w:bookmarkEnd w:id="306"/>
      <w:bookmarkEnd w:id="307"/>
      <w:bookmarkEnd w:id="308"/>
      <w:bookmarkEnd w:id="309"/>
      <w:bookmarkEnd w:id="310"/>
      <w:bookmarkEnd w:id="311"/>
      <w:bookmarkStart w:id="312" w:name="_Toc1693522536"/>
      <w:bookmarkStart w:id="313" w:name="_Toc1336918912"/>
      <w:bookmarkStart w:id="314" w:name="_Toc23356"/>
    </w:p>
    <w:p>
      <w:pPr>
        <w:pStyle w:val="4"/>
        <w:keepNext w:val="0"/>
        <w:keepLines w:val="0"/>
        <w:pageBreakBefore w:val="0"/>
        <w:widowControl w:val="0"/>
        <w:tabs>
          <w:tab w:val="left" w:pos="484"/>
        </w:tabs>
        <w:kinsoku/>
        <w:wordWrap/>
        <w:overflowPunct/>
        <w:topLinePunct w:val="0"/>
        <w:bidi w:val="0"/>
        <w:adjustRightInd/>
        <w:snapToGrid/>
        <w:spacing w:line="600" w:lineRule="exact"/>
        <w:ind w:left="160" w:firstLine="281" w:firstLineChars="100"/>
        <w:jc w:val="both"/>
        <w:textAlignment w:val="auto"/>
        <w:rPr>
          <w:rFonts w:hint="eastAsia" w:asciiTheme="minorEastAsia" w:hAnsiTheme="minorEastAsia" w:eastAsiaTheme="minorEastAsia" w:cstheme="minorEastAsia"/>
          <w:color w:val="000000"/>
          <w:sz w:val="28"/>
          <w:szCs w:val="28"/>
          <w:lang w:val="en-US" w:eastAsia="zh-CN"/>
        </w:rPr>
      </w:pPr>
      <w:bookmarkStart w:id="315" w:name="_Toc25411"/>
      <w:r>
        <w:rPr>
          <w:rFonts w:hint="eastAsia" w:asciiTheme="minorEastAsia" w:hAnsiTheme="minorEastAsia" w:eastAsiaTheme="minorEastAsia" w:cstheme="minorEastAsia"/>
          <w:color w:val="000000"/>
          <w:sz w:val="28"/>
          <w:szCs w:val="28"/>
          <w:lang w:val="en-US" w:eastAsia="zh-CN"/>
        </w:rPr>
        <w:t>（十三）</w:t>
      </w:r>
      <w:bookmarkEnd w:id="312"/>
      <w:bookmarkEnd w:id="313"/>
      <w:r>
        <w:rPr>
          <w:rFonts w:hint="eastAsia" w:asciiTheme="minorEastAsia" w:hAnsiTheme="minorEastAsia" w:eastAsiaTheme="minorEastAsia" w:cstheme="minorEastAsia"/>
          <w:color w:val="000000"/>
          <w:sz w:val="28"/>
          <w:szCs w:val="28"/>
          <w:lang w:val="en-US" w:eastAsia="zh-CN"/>
        </w:rPr>
        <w:t>重点群体创业税费扣减政策</w:t>
      </w:r>
      <w:bookmarkEnd w:id="314"/>
      <w:bookmarkEnd w:id="315"/>
      <w:bookmarkStart w:id="316" w:name="_Toc29122"/>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9"/>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建档立卡贫困人口、持《就业创业证》（注明“自主创业税收政策”或“毕业年度内自主创业税收政策”）或《就业失业登记证》（注明“自主创业税收政策”）的人员，具体包括：</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1.纳入全国扶贫开发信息系统的建档立卡贫困人口。</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 xml:space="preserve">2.在人力资源社会保障部门公共就业服务机构登记失业半年以上的人员。 </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3.零就业家庭、享受城市居民最低生活保障家庭劳动年龄内的登记失业人员。</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4.毕业年度内高校毕业生。高校毕业生是指实施高等学历教育的普通高等学校、成人高等学校应届毕业的学生；毕业年度是指毕业所在自然年，即1月1日至12月31日。</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9"/>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【优惠内容】</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9"/>
        <w:rPr>
          <w:rFonts w:hint="eastAsia" w:asciiTheme="minorEastAsia" w:hAnsiTheme="minorEastAsia" w:eastAsiaTheme="minorEastAsia" w:cstheme="minorEastAsia"/>
          <w:color w:val="auto"/>
          <w:sz w:val="28"/>
          <w:szCs w:val="28"/>
          <w:shd w:val="clear" w:color="auto" w:fill="FFFFFF"/>
          <w:lang w:val="en-US"/>
        </w:rPr>
      </w:pPr>
      <w:r>
        <w:rPr>
          <w:rFonts w:hint="eastAsia" w:asciiTheme="minorEastAsia" w:hAnsiTheme="minorEastAsia" w:eastAsiaTheme="minorEastAsia" w:cstheme="minorEastAsia"/>
          <w:color w:val="auto"/>
          <w:sz w:val="28"/>
          <w:szCs w:val="28"/>
          <w:lang w:val="en-US" w:eastAsia="zh-CN"/>
        </w:rPr>
        <w:t>自2019年1月1日至2025年12月31日，上述人员从事个体经营的，自办理个体工商户登记当月起，在3年（36个月）内按每户每年14400元为限额依次扣减其当年实际应缴纳的增值税、城市维护建设税、教育费附加、地方教育附加和个人所得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9"/>
        <w:rPr>
          <w:rFonts w:hint="eastAsia" w:asciiTheme="minorEastAsia" w:hAnsiTheme="minorEastAsia" w:eastAsiaTheme="minorEastAsia" w:cstheme="minorEastAsia"/>
          <w:b/>
          <w:bCs/>
          <w:color w:val="92D050"/>
          <w:sz w:val="28"/>
          <w:szCs w:val="28"/>
        </w:rPr>
      </w:pPr>
      <w:r>
        <w:rPr>
          <w:rFonts w:hint="eastAsia" w:asciiTheme="minorEastAsia" w:hAnsiTheme="minorEastAsia" w:eastAsiaTheme="minorEastAsia" w:cstheme="minorEastAsia"/>
          <w:b/>
          <w:color w:val="000000"/>
          <w:sz w:val="28"/>
          <w:szCs w:val="28"/>
        </w:rPr>
        <w:t>【享受条件】</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9"/>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xml:space="preserve">1.纳税人实际应缴纳的增值税、城市维护建设税、教育费附加、地方教育附加和个人所得税小于减免税限额的，以实际应缴纳的增值税、城市维护建设税、教育费附加、地方教育附加和个人所得税税额为限；实际应缴纳的增值税、城市维护建设税、教育费附加、地方教育附加和个人所得税大于减免税限额的，以减免税限额为限。 </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9"/>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2.城市维护建设税、教育费附加、地方教育附加的计税依据是享受本政策前的增值税应纳税额。</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9"/>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p>
      <w:pPr>
        <w:pStyle w:val="29"/>
        <w:keepNext w:val="0"/>
        <w:keepLines w:val="0"/>
        <w:pageBreakBefore w:val="0"/>
        <w:widowControl w:val="0"/>
        <w:tabs>
          <w:tab w:val="left" w:pos="1485"/>
        </w:tabs>
        <w:kinsoku/>
        <w:wordWrap/>
        <w:overflowPunct/>
        <w:topLinePunct w:val="0"/>
        <w:bidi w:val="0"/>
        <w:adjustRightInd/>
        <w:snapToGrid/>
        <w:spacing w:line="360" w:lineRule="auto"/>
        <w:ind w:left="0" w:right="0" w:firstLineChars="200"/>
        <w:jc w:val="both"/>
        <w:textAlignment w:val="auto"/>
        <w:outlineLvl w:val="9"/>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1.《财政部 税务总局 人力资源社会保障部 国家乡村振兴局关于延长部分扶贫税收优惠政策执行期限的公告》（2021年第18号）</w:t>
      </w:r>
    </w:p>
    <w:p>
      <w:pPr>
        <w:pStyle w:val="29"/>
        <w:keepNext w:val="0"/>
        <w:keepLines w:val="0"/>
        <w:pageBreakBefore w:val="0"/>
        <w:widowControl w:val="0"/>
        <w:tabs>
          <w:tab w:val="left" w:pos="1485"/>
        </w:tabs>
        <w:kinsoku/>
        <w:wordWrap/>
        <w:overflowPunct/>
        <w:topLinePunct w:val="0"/>
        <w:bidi w:val="0"/>
        <w:adjustRightInd/>
        <w:snapToGrid/>
        <w:spacing w:line="360" w:lineRule="auto"/>
        <w:ind w:left="0" w:right="0" w:firstLineChars="200"/>
        <w:jc w:val="both"/>
        <w:textAlignment w:val="auto"/>
        <w:outlineLvl w:val="9"/>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2.《财政部 税务总局 人力资源社会保障部 国务院扶贫办关于进一步支持和促进重点群体创业就业有关税收政策的通知》（财税〔2019〕22号）</w:t>
      </w:r>
    </w:p>
    <w:p>
      <w:pPr>
        <w:keepNext w:val="0"/>
        <w:keepLines w:val="0"/>
        <w:pageBreakBefore w:val="0"/>
        <w:widowControl/>
        <w:kinsoku/>
        <w:wordWrap/>
        <w:overflowPunct/>
        <w:topLinePunct w:val="0"/>
        <w:autoSpaceDE/>
        <w:autoSpaceDN/>
        <w:bidi w:val="0"/>
        <w:adjustRightInd/>
        <w:snapToGrid w:val="0"/>
        <w:spacing w:after="0" w:line="360" w:lineRule="auto"/>
        <w:ind w:left="0" w:right="0" w:firstLine="560" w:firstLineChars="20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3.《云南省财政厅 国家税务总局云南省税务局 云南省人力资源和社会保障厅 云南省乡村振兴局关于延长重点群体创业就业税收优惠政策执行期限的公告》（2021年第8号）</w:t>
      </w:r>
    </w:p>
    <w:p>
      <w:pPr>
        <w:pStyle w:val="4"/>
        <w:keepNext w:val="0"/>
        <w:keepLines w:val="0"/>
        <w:pageBreakBefore w:val="0"/>
        <w:widowControl w:val="0"/>
        <w:numPr>
          <w:ilvl w:val="0"/>
          <w:numId w:val="0"/>
        </w:numPr>
        <w:tabs>
          <w:tab w:val="left" w:pos="484"/>
        </w:tabs>
        <w:kinsoku/>
        <w:wordWrap/>
        <w:overflowPunct/>
        <w:topLinePunct w:val="0"/>
        <w:bidi w:val="0"/>
        <w:adjustRightInd/>
        <w:snapToGrid/>
        <w:spacing w:line="600" w:lineRule="exact"/>
        <w:ind w:leftChars="0" w:firstLine="562" w:firstLineChars="200"/>
        <w:jc w:val="both"/>
        <w:textAlignment w:val="auto"/>
        <w:rPr>
          <w:rFonts w:hint="eastAsia" w:asciiTheme="minorEastAsia" w:hAnsiTheme="minorEastAsia" w:eastAsiaTheme="minorEastAsia" w:cstheme="minorEastAsia"/>
          <w:color w:val="000000"/>
          <w:sz w:val="28"/>
          <w:szCs w:val="28"/>
        </w:rPr>
      </w:pPr>
      <w:bookmarkStart w:id="317" w:name="_Toc791288180"/>
      <w:bookmarkStart w:id="318" w:name="_Toc3310"/>
      <w:bookmarkStart w:id="319" w:name="_Toc14976"/>
      <w:bookmarkStart w:id="320" w:name="_Toc1817854981"/>
      <w:bookmarkStart w:id="321" w:name="_Toc1451724507"/>
      <w:bookmarkStart w:id="322" w:name="_Toc725975143"/>
      <w:r>
        <w:rPr>
          <w:rFonts w:hint="eastAsia" w:asciiTheme="minorEastAsia" w:hAnsiTheme="minorEastAsia" w:eastAsiaTheme="minorEastAsia" w:cstheme="minorEastAsia"/>
          <w:color w:val="000000"/>
          <w:sz w:val="28"/>
          <w:szCs w:val="28"/>
          <w:lang w:eastAsia="zh-CN"/>
        </w:rPr>
        <w:t>（十四）</w:t>
      </w:r>
      <w:r>
        <w:rPr>
          <w:rFonts w:hint="eastAsia" w:asciiTheme="minorEastAsia" w:hAnsiTheme="minorEastAsia" w:eastAsiaTheme="minorEastAsia" w:cstheme="minorEastAsia"/>
          <w:color w:val="000000"/>
          <w:sz w:val="28"/>
          <w:szCs w:val="28"/>
          <w:lang w:val="en-US"/>
        </w:rPr>
        <w:t>吸纳重点群体就业税费扣减</w:t>
      </w:r>
      <w:r>
        <w:rPr>
          <w:rFonts w:hint="eastAsia" w:asciiTheme="minorEastAsia" w:hAnsiTheme="minorEastAsia" w:eastAsiaTheme="minorEastAsia" w:cstheme="minorEastAsia"/>
          <w:color w:val="000000"/>
          <w:sz w:val="28"/>
          <w:szCs w:val="28"/>
          <w:lang w:val="en-US" w:eastAsia="zh-CN"/>
        </w:rPr>
        <w:t>政策</w:t>
      </w:r>
      <w:bookmarkEnd w:id="317"/>
      <w:bookmarkEnd w:id="318"/>
      <w:bookmarkEnd w:id="319"/>
      <w:bookmarkEnd w:id="320"/>
      <w:bookmarkEnd w:id="321"/>
      <w:bookmarkEnd w:id="322"/>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rPr>
        <w:t>招用建档立卡贫困人口，以及在人力资源社会保障部门公共就业服务机构登记失业半年以上且持《就业创业证》或《就业失业登记证》（注明“企业吸纳税收政策”）人员，并与其签订1 年以上期限劳动合同并依法缴纳社会保险费的企业。</w:t>
      </w:r>
    </w:p>
    <w:p>
      <w:pPr>
        <w:keepNext w:val="0"/>
        <w:keepLines w:val="0"/>
        <w:pageBreakBefore w:val="0"/>
        <w:widowControl w:val="0"/>
        <w:kinsoku/>
        <w:wordWrap/>
        <w:overflowPunct/>
        <w:topLinePunct w:val="0"/>
        <w:autoSpaceDE w:val="0"/>
        <w:autoSpaceDN w:val="0"/>
        <w:bidi w:val="0"/>
        <w:adjustRightInd/>
        <w:snapToGrid/>
        <w:spacing w:line="360" w:lineRule="auto"/>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【优惠内容】</w:t>
      </w:r>
    </w:p>
    <w:p>
      <w:pPr>
        <w:pStyle w:val="2"/>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自2019年1月1日至2025年12月31日，企业招用建档立卡贫困人口，以及在人力资源社会保障部门公共就业服务机构登记失业半年以上且持《就业创业证》或《就业失业 登记证》（注明“企业吸纳税收政策”）的人员，与其签订1年以上期限劳动合同并依法缴纳社会保险费的，自签订劳动合同并缴纳社会保险当月起，在3年</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36个月）</w:t>
      </w:r>
      <w:r>
        <w:rPr>
          <w:rFonts w:hint="eastAsia" w:asciiTheme="minorEastAsia" w:hAnsiTheme="minorEastAsia" w:eastAsiaTheme="minorEastAsia" w:cstheme="minorEastAsia"/>
          <w:color w:val="auto"/>
          <w:sz w:val="28"/>
          <w:szCs w:val="28"/>
        </w:rPr>
        <w:t>内按实际招用人数</w:t>
      </w:r>
      <w:r>
        <w:rPr>
          <w:rFonts w:hint="eastAsia" w:asciiTheme="minorEastAsia" w:hAnsiTheme="minorEastAsia" w:eastAsiaTheme="minorEastAsia" w:cstheme="minorEastAsia"/>
          <w:color w:val="auto"/>
          <w:sz w:val="28"/>
          <w:szCs w:val="28"/>
          <w:lang w:val="en-US" w:eastAsia="zh-CN"/>
        </w:rPr>
        <w:t>以</w:t>
      </w:r>
      <w:r>
        <w:rPr>
          <w:rFonts w:hint="eastAsia" w:asciiTheme="minorEastAsia" w:hAnsiTheme="minorEastAsia" w:eastAsiaTheme="minorEastAsia" w:cstheme="minorEastAsia"/>
          <w:color w:val="auto"/>
          <w:sz w:val="28"/>
          <w:szCs w:val="28"/>
          <w:lang w:eastAsia="zh-CN"/>
        </w:rPr>
        <w:t>每人每年</w:t>
      </w:r>
      <w:r>
        <w:rPr>
          <w:rFonts w:hint="eastAsia" w:asciiTheme="minorEastAsia" w:hAnsiTheme="minorEastAsia" w:eastAsiaTheme="minorEastAsia" w:cstheme="minorEastAsia"/>
          <w:color w:val="auto"/>
          <w:sz w:val="28"/>
          <w:szCs w:val="28"/>
          <w:lang w:val="en-US" w:eastAsia="zh-CN"/>
        </w:rPr>
        <w:t>7800元</w:t>
      </w:r>
      <w:r>
        <w:rPr>
          <w:rFonts w:hint="eastAsia" w:asciiTheme="minorEastAsia" w:hAnsiTheme="minorEastAsia" w:eastAsiaTheme="minorEastAsia" w:cstheme="minorEastAsia"/>
          <w:color w:val="auto"/>
          <w:sz w:val="28"/>
          <w:szCs w:val="28"/>
        </w:rPr>
        <w:t>依次扣减增值税、城市维护建设税、教育费附加、地方教育附加和企业所得税优惠。</w:t>
      </w:r>
    </w:p>
    <w:p>
      <w:pPr>
        <w:keepNext w:val="0"/>
        <w:keepLines w:val="0"/>
        <w:pageBreakBefore w:val="0"/>
        <w:widowControl w:val="0"/>
        <w:kinsoku/>
        <w:wordWrap/>
        <w:overflowPunct/>
        <w:topLinePunct w:val="0"/>
        <w:autoSpaceDE w:val="0"/>
        <w:autoSpaceDN w:val="0"/>
        <w:bidi w:val="0"/>
        <w:adjustRightInd/>
        <w:snapToGrid/>
        <w:spacing w:line="360" w:lineRule="auto"/>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p>
    <w:p>
      <w:pPr>
        <w:keepNext w:val="0"/>
        <w:keepLines w:val="0"/>
        <w:pageBreakBefore w:val="0"/>
        <w:widowControl w:val="0"/>
        <w:kinsoku/>
        <w:wordWrap/>
        <w:overflowPunct/>
        <w:topLinePunct w:val="0"/>
        <w:bidi w:val="0"/>
        <w:adjustRightInd/>
        <w:snapToGrid w:val="0"/>
        <w:spacing w:line="360" w:lineRule="auto"/>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xml:space="preserve">1.上述政策中的企业，是指属于增值税纳税人或企业所得税纳税人的企业等单位。 </w:t>
      </w:r>
    </w:p>
    <w:p>
      <w:pPr>
        <w:keepNext w:val="0"/>
        <w:keepLines w:val="0"/>
        <w:pageBreakBefore w:val="0"/>
        <w:widowControl w:val="0"/>
        <w:kinsoku/>
        <w:wordWrap/>
        <w:overflowPunct/>
        <w:topLinePunct w:val="0"/>
        <w:bidi w:val="0"/>
        <w:adjustRightInd/>
        <w:snapToGrid w:val="0"/>
        <w:spacing w:line="360" w:lineRule="auto"/>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企业与招用建档立卡贫困人口，以及在人力资源社会保障部门公共就业服务机构登记失业半年以上且持《就业创业证》或《就业失业登记证》（注明“企业吸纳税收政策”）的人员签订1年以上期限劳动合同并依法缴纳社会保险费。</w:t>
      </w:r>
    </w:p>
    <w:p>
      <w:pPr>
        <w:pStyle w:val="2"/>
        <w:snapToGrid w:val="0"/>
        <w:spacing w:line="360" w:lineRule="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eastAsia="zh-CN"/>
        </w:rPr>
        <w:t>3.</w:t>
      </w:r>
      <w:r>
        <w:rPr>
          <w:rFonts w:hint="eastAsia" w:asciiTheme="minorEastAsia" w:hAnsiTheme="minorEastAsia" w:eastAsiaTheme="minorEastAsia" w:cstheme="minorEastAsia"/>
          <w:color w:val="000000"/>
          <w:sz w:val="28"/>
          <w:szCs w:val="28"/>
        </w:rPr>
        <w:t>按上述标准计算的税收扣减额应在企业当年实际应缴纳的增值税、城市维护建设税、教育费附加、地方教育附加和企业所得税税额中扣减，当年扣减不完的，不得结转下年使用。</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color w:val="000000"/>
          <w:sz w:val="28"/>
          <w:szCs w:val="28"/>
        </w:rPr>
        <w:t>【政策依据】</w:t>
      </w:r>
      <w:r>
        <w:rPr>
          <w:rFonts w:hint="eastAsia" w:asciiTheme="minorEastAsia" w:hAnsiTheme="minorEastAsia" w:eastAsiaTheme="minorEastAsia" w:cstheme="minorEastAsia"/>
          <w:color w:val="000000"/>
          <w:sz w:val="28"/>
          <w:szCs w:val="28"/>
        </w:rPr>
        <w:t xml:space="preserve"> </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1.《财政部 税务总局 人力资源社会保障部 国家乡村 振兴局关于延长部分扶贫税收优惠政策执行期限的公告》（2021年第 18号）</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2.《财政部 税务总局 人力资源社会保障部 国务院扶 贫办关于进一步支持和促进重点群体创业就业有关税收政策的通知》（财税〔2019〕22号）</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w:t>
      </w:r>
      <w:bookmarkStart w:id="323" w:name="page8"/>
      <w:bookmarkEnd w:id="323"/>
      <w:r>
        <w:rPr>
          <w:rFonts w:hint="eastAsia" w:asciiTheme="minorEastAsia" w:hAnsiTheme="minorEastAsia" w:eastAsiaTheme="minorEastAsia" w:cstheme="minorEastAsia"/>
          <w:color w:val="auto"/>
          <w:sz w:val="28"/>
          <w:szCs w:val="28"/>
          <w:lang w:val="en-US" w:eastAsia="zh-CN"/>
        </w:rPr>
        <w:t>《云南省财政厅 国家税务总局云南省税务局 云南省人力资源和社会保障厅 云南省乡村振兴局关于延长重点群体创业就业税收优惠政策执行期限的公告》（2021年第8号）</w:t>
      </w:r>
    </w:p>
    <w:p>
      <w:pPr>
        <w:pStyle w:val="4"/>
        <w:keepNext w:val="0"/>
        <w:keepLines w:val="0"/>
        <w:pageBreakBefore w:val="0"/>
        <w:widowControl w:val="0"/>
        <w:numPr>
          <w:ilvl w:val="0"/>
          <w:numId w:val="0"/>
        </w:numPr>
        <w:tabs>
          <w:tab w:val="left" w:pos="484"/>
        </w:tabs>
        <w:kinsoku/>
        <w:wordWrap/>
        <w:overflowPunct/>
        <w:topLinePunct w:val="0"/>
        <w:bidi w:val="0"/>
        <w:adjustRightInd/>
        <w:snapToGrid/>
        <w:spacing w:line="600" w:lineRule="exact"/>
        <w:ind w:leftChars="0"/>
        <w:jc w:val="both"/>
        <w:textAlignment w:val="auto"/>
        <w:rPr>
          <w:rFonts w:hint="eastAsia" w:asciiTheme="minorEastAsia" w:hAnsiTheme="minorEastAsia" w:eastAsiaTheme="minorEastAsia" w:cstheme="minorEastAsia"/>
          <w:color w:val="000000"/>
          <w:sz w:val="28"/>
          <w:szCs w:val="28"/>
          <w:lang w:val="en-US"/>
        </w:rPr>
      </w:pPr>
      <w:bookmarkStart w:id="324" w:name="_Toc1621"/>
      <w:r>
        <w:rPr>
          <w:rFonts w:hint="eastAsia" w:asciiTheme="minorEastAsia" w:hAnsiTheme="minorEastAsia" w:eastAsiaTheme="minorEastAsia" w:cstheme="minorEastAsia"/>
          <w:color w:val="000000"/>
          <w:sz w:val="28"/>
          <w:szCs w:val="28"/>
          <w:lang w:val="en-US" w:eastAsia="zh-CN"/>
        </w:rPr>
        <w:t xml:space="preserve">  </w:t>
      </w:r>
      <w:bookmarkStart w:id="325" w:name="_Toc228576015"/>
      <w:bookmarkStart w:id="326" w:name="_Toc29067"/>
      <w:bookmarkStart w:id="327" w:name="_Toc1361713201"/>
      <w:bookmarkStart w:id="328" w:name="_Toc835225109"/>
      <w:bookmarkStart w:id="329" w:name="_Toc8435"/>
      <w:bookmarkStart w:id="330" w:name="_Toc1063762940"/>
      <w:r>
        <w:rPr>
          <w:rFonts w:hint="eastAsia" w:asciiTheme="minorEastAsia" w:hAnsiTheme="minorEastAsia" w:eastAsiaTheme="minorEastAsia" w:cstheme="minorEastAsia"/>
          <w:color w:val="000000"/>
          <w:sz w:val="28"/>
          <w:szCs w:val="28"/>
          <w:lang w:val="en-US" w:eastAsia="zh-CN"/>
        </w:rPr>
        <w:t>（十五）</w:t>
      </w:r>
      <w:r>
        <w:rPr>
          <w:rFonts w:hint="eastAsia" w:asciiTheme="minorEastAsia" w:hAnsiTheme="minorEastAsia" w:eastAsiaTheme="minorEastAsia" w:cstheme="minorEastAsia"/>
          <w:color w:val="000000"/>
          <w:sz w:val="28"/>
          <w:szCs w:val="28"/>
          <w:lang w:val="en-US"/>
        </w:rPr>
        <w:t>企业扶贫捐赠所得税税前扣除</w:t>
      </w:r>
      <w:bookmarkEnd w:id="324"/>
      <w:r>
        <w:rPr>
          <w:rFonts w:hint="eastAsia" w:asciiTheme="minorEastAsia" w:hAnsiTheme="minorEastAsia" w:eastAsiaTheme="minorEastAsia" w:cstheme="minorEastAsia"/>
          <w:color w:val="000000"/>
          <w:sz w:val="28"/>
          <w:szCs w:val="28"/>
          <w:lang w:val="en-US" w:eastAsia="zh-CN"/>
        </w:rPr>
        <w:t>政策</w:t>
      </w:r>
      <w:bookmarkEnd w:id="325"/>
      <w:bookmarkEnd w:id="326"/>
      <w:bookmarkEnd w:id="327"/>
      <w:bookmarkEnd w:id="328"/>
      <w:bookmarkEnd w:id="329"/>
      <w:bookmarkEnd w:id="330"/>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331" w:name="_Toc23327"/>
      <w:bookmarkStart w:id="332" w:name="_Toc22866"/>
      <w:bookmarkStart w:id="333" w:name="_Toc7539"/>
      <w:bookmarkStart w:id="334" w:name="_Toc30992"/>
      <w:bookmarkStart w:id="335" w:name="_Toc28829"/>
      <w:bookmarkStart w:id="336" w:name="_Toc17111"/>
      <w:r>
        <w:rPr>
          <w:rFonts w:hint="eastAsia" w:asciiTheme="minorEastAsia" w:hAnsiTheme="minorEastAsia" w:eastAsiaTheme="minorEastAsia" w:cstheme="minorEastAsia"/>
          <w:b/>
          <w:color w:val="000000"/>
          <w:sz w:val="28"/>
          <w:szCs w:val="28"/>
        </w:rPr>
        <w:t>【享受主体】</w:t>
      </w:r>
      <w:bookmarkEnd w:id="331"/>
      <w:bookmarkEnd w:id="332"/>
      <w:bookmarkEnd w:id="333"/>
      <w:bookmarkEnd w:id="334"/>
      <w:bookmarkEnd w:id="335"/>
      <w:bookmarkEnd w:id="336"/>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rPr>
        <w:t>通过公益性社会组织或者县级（含县级）以上人民政府及其组成部门和直属机构，捐赠支出用于目标脱贫地区扶贫的企业</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337" w:name="_Toc940"/>
      <w:bookmarkStart w:id="338" w:name="_Toc21197"/>
      <w:bookmarkStart w:id="339" w:name="_Toc2659"/>
      <w:bookmarkStart w:id="340" w:name="_Toc23542"/>
      <w:bookmarkStart w:id="341" w:name="_Toc15287"/>
      <w:bookmarkStart w:id="342" w:name="_Toc25178"/>
      <w:r>
        <w:rPr>
          <w:rFonts w:hint="eastAsia" w:asciiTheme="minorEastAsia" w:hAnsiTheme="minorEastAsia" w:eastAsiaTheme="minorEastAsia" w:cstheme="minorEastAsia"/>
          <w:b/>
          <w:color w:val="000000"/>
          <w:sz w:val="28"/>
          <w:szCs w:val="28"/>
        </w:rPr>
        <w:t>【优惠内容】</w:t>
      </w:r>
      <w:bookmarkEnd w:id="337"/>
      <w:bookmarkEnd w:id="338"/>
      <w:bookmarkEnd w:id="339"/>
      <w:bookmarkEnd w:id="340"/>
      <w:bookmarkEnd w:id="341"/>
      <w:bookmarkEnd w:id="342"/>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color w:val="000000"/>
          <w:sz w:val="28"/>
          <w:szCs w:val="28"/>
        </w:rPr>
        <w:t>自2019年1月1日至2025年12月31日，企业通过公益性社会组织或者县级（含县级）以上人民政府及其组成部门和直属机构，用于目标脱贫地区的扶贫捐赠支出，准予在计算企业所得税应纳税所得额时据实扣除。在政策执行期限内，目标脱贫地区实现脱贫的，可继续适用上述政策。</w:t>
      </w:r>
      <w:bookmarkStart w:id="343" w:name="_Toc26486"/>
      <w:bookmarkStart w:id="344" w:name="_Toc17933"/>
      <w:bookmarkStart w:id="345" w:name="_Toc27244"/>
      <w:bookmarkStart w:id="346" w:name="_Toc14122"/>
      <w:bookmarkStart w:id="347" w:name="_Toc1734"/>
      <w:bookmarkStart w:id="348" w:name="_Toc10785"/>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bookmarkEnd w:id="343"/>
      <w:bookmarkEnd w:id="344"/>
      <w:bookmarkEnd w:id="345"/>
      <w:bookmarkEnd w:id="346"/>
      <w:bookmarkEnd w:id="347"/>
      <w:bookmarkEnd w:id="348"/>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1.“目标脱贫地区”包括832个国家扶贫开发工作重点县、集中连片特困地区县（新疆阿克苏地区6县1市享受片区政策）和建档立卡贫困村。</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2.企业同时发生扶贫捐赠支出和其他公益性捐赠支出，在计算公益性捐赠支出年度扣除限额时，符合上述条件的扶贫捐赠支出不计算在内。</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3.企业在2015年1月1日至2018年12月31日期间已发生的符合上述条件的扶贫捐赠支出，尚未在计算企业所得税应纳税所得额时扣除的部分，可执行上述企业所得税政策。</w:t>
      </w:r>
      <w:bookmarkStart w:id="349" w:name="_Toc504"/>
      <w:bookmarkStart w:id="350" w:name="_Toc10135"/>
      <w:bookmarkStart w:id="351" w:name="_Toc23550"/>
      <w:bookmarkStart w:id="352" w:name="_Toc14322"/>
      <w:bookmarkStart w:id="353" w:name="_Toc19949"/>
      <w:bookmarkStart w:id="354" w:name="_Toc12149"/>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bookmarkEnd w:id="349"/>
    <w:bookmarkEnd w:id="350"/>
    <w:bookmarkEnd w:id="351"/>
    <w:bookmarkEnd w:id="352"/>
    <w:bookmarkEnd w:id="353"/>
    <w:bookmarkEnd w:id="354"/>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1.《财政部 税务总局 人力资源社会保障部 国家乡村振兴 局关于延长部分扶贫税收优惠政策执行期限的公告》（2021年第18号）</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right="295"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2.《财政部 税务总局 国务院扶贫办关于企业扶贫捐赠所得税税前扣除政策的公告》（2019年第49号）</w:t>
      </w:r>
    </w:p>
    <w:p>
      <w:pPr>
        <w:pStyle w:val="4"/>
        <w:keepNext w:val="0"/>
        <w:keepLines w:val="0"/>
        <w:pageBreakBefore w:val="0"/>
        <w:widowControl w:val="0"/>
        <w:numPr>
          <w:ilvl w:val="0"/>
          <w:numId w:val="0"/>
        </w:numPr>
        <w:tabs>
          <w:tab w:val="left" w:pos="484"/>
        </w:tabs>
        <w:kinsoku/>
        <w:wordWrap/>
        <w:overflowPunct/>
        <w:topLinePunct w:val="0"/>
        <w:bidi w:val="0"/>
        <w:adjustRightInd/>
        <w:snapToGrid/>
        <w:spacing w:line="600" w:lineRule="exact"/>
        <w:ind w:leftChars="0" w:firstLine="562" w:firstLineChars="200"/>
        <w:jc w:val="both"/>
        <w:textAlignment w:val="auto"/>
        <w:rPr>
          <w:rFonts w:hint="eastAsia" w:asciiTheme="minorEastAsia" w:hAnsiTheme="minorEastAsia" w:eastAsiaTheme="minorEastAsia" w:cstheme="minorEastAsia"/>
          <w:color w:val="000000"/>
          <w:sz w:val="28"/>
          <w:szCs w:val="28"/>
          <w:lang w:val="en-US"/>
        </w:rPr>
      </w:pPr>
      <w:bookmarkStart w:id="355" w:name="_Toc22773"/>
      <w:bookmarkStart w:id="356" w:name="_Toc1808359659"/>
      <w:bookmarkStart w:id="357" w:name="_Toc667462309"/>
      <w:bookmarkStart w:id="358" w:name="_Toc2137882378"/>
      <w:bookmarkStart w:id="359" w:name="_Toc58077551"/>
      <w:bookmarkStart w:id="360" w:name="_Toc6729"/>
      <w:r>
        <w:rPr>
          <w:rFonts w:hint="eastAsia" w:asciiTheme="minorEastAsia" w:hAnsiTheme="minorEastAsia" w:eastAsiaTheme="minorEastAsia" w:cstheme="minorEastAsia"/>
          <w:color w:val="000000"/>
          <w:sz w:val="28"/>
          <w:szCs w:val="28"/>
          <w:lang w:val="en-US" w:eastAsia="zh-CN"/>
        </w:rPr>
        <w:t>（十六）</w:t>
      </w:r>
      <w:r>
        <w:rPr>
          <w:rFonts w:hint="eastAsia" w:asciiTheme="minorEastAsia" w:hAnsiTheme="minorEastAsia" w:eastAsiaTheme="minorEastAsia" w:cstheme="minorEastAsia"/>
          <w:color w:val="000000"/>
          <w:sz w:val="28"/>
          <w:szCs w:val="28"/>
          <w:lang w:val="en-US"/>
        </w:rPr>
        <w:t>扶贫货物捐赠免征增值税</w:t>
      </w:r>
      <w:r>
        <w:rPr>
          <w:rFonts w:hint="eastAsia" w:asciiTheme="minorEastAsia" w:hAnsiTheme="minorEastAsia" w:eastAsiaTheme="minorEastAsia" w:cstheme="minorEastAsia"/>
          <w:color w:val="000000"/>
          <w:sz w:val="28"/>
          <w:szCs w:val="28"/>
          <w:lang w:val="en-US" w:eastAsia="zh-CN"/>
        </w:rPr>
        <w:t>政策</w:t>
      </w:r>
      <w:bookmarkEnd w:id="355"/>
      <w:bookmarkEnd w:id="356"/>
      <w:bookmarkEnd w:id="357"/>
      <w:bookmarkEnd w:id="358"/>
      <w:bookmarkEnd w:id="359"/>
      <w:bookmarkEnd w:id="360"/>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361" w:name="_Toc1422"/>
      <w:bookmarkStart w:id="362" w:name="_Toc20850"/>
      <w:bookmarkStart w:id="363" w:name="_Toc6852"/>
      <w:bookmarkStart w:id="364" w:name="_Toc19238"/>
      <w:bookmarkStart w:id="365" w:name="_Toc14140"/>
      <w:bookmarkStart w:id="366" w:name="_Toc649"/>
      <w:r>
        <w:rPr>
          <w:rFonts w:hint="eastAsia" w:asciiTheme="minorEastAsia" w:hAnsiTheme="minorEastAsia" w:eastAsiaTheme="minorEastAsia" w:cstheme="minorEastAsia"/>
          <w:b/>
          <w:color w:val="000000"/>
          <w:sz w:val="28"/>
          <w:szCs w:val="28"/>
        </w:rPr>
        <w:t>【享受主体】</w:t>
      </w:r>
      <w:bookmarkEnd w:id="361"/>
      <w:bookmarkEnd w:id="362"/>
      <w:bookmarkEnd w:id="363"/>
      <w:bookmarkEnd w:id="364"/>
      <w:bookmarkEnd w:id="365"/>
      <w:bookmarkEnd w:id="366"/>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b/>
          <w:color w:val="000000"/>
          <w:sz w:val="28"/>
          <w:szCs w:val="28"/>
          <w:lang w:eastAsia="zh-CN"/>
        </w:rPr>
      </w:pPr>
      <w:r>
        <w:rPr>
          <w:rFonts w:hint="eastAsia" w:asciiTheme="minorEastAsia" w:hAnsiTheme="minorEastAsia" w:eastAsiaTheme="minorEastAsia" w:cstheme="minorEastAsia"/>
          <w:color w:val="000000"/>
          <w:kern w:val="0"/>
          <w:sz w:val="28"/>
          <w:szCs w:val="28"/>
          <w:lang w:val="en-US" w:eastAsia="zh-CN" w:bidi="zh-CN"/>
        </w:rPr>
        <w:t>将自产、委托加工或购买的货物</w:t>
      </w:r>
      <w:r>
        <w:rPr>
          <w:rFonts w:hint="eastAsia" w:asciiTheme="minorEastAsia" w:hAnsiTheme="minorEastAsia" w:eastAsiaTheme="minorEastAsia" w:cstheme="minorEastAsia"/>
          <w:color w:val="000000"/>
          <w:sz w:val="28"/>
          <w:szCs w:val="28"/>
          <w:lang w:val="en-US"/>
        </w:rPr>
        <w:t>通过公益性社会组织、县级及以上人民政府及其组成部门和直属机构，或直接无偿捐赠给目标脱贫地区单位和个人</w:t>
      </w:r>
      <w:r>
        <w:rPr>
          <w:rFonts w:hint="eastAsia" w:asciiTheme="minorEastAsia" w:hAnsiTheme="minorEastAsia" w:eastAsiaTheme="minorEastAsia" w:cstheme="minorEastAsia"/>
          <w:color w:val="000000"/>
          <w:sz w:val="28"/>
          <w:szCs w:val="28"/>
          <w:lang w:val="en-US" w:eastAsia="zh-CN"/>
        </w:rPr>
        <w:t>的</w:t>
      </w:r>
      <w:r>
        <w:rPr>
          <w:rFonts w:hint="eastAsia" w:asciiTheme="minorEastAsia" w:hAnsiTheme="minorEastAsia" w:eastAsiaTheme="minorEastAsia" w:cstheme="minorEastAsia"/>
          <w:color w:val="000000"/>
          <w:kern w:val="0"/>
          <w:sz w:val="28"/>
          <w:szCs w:val="28"/>
          <w:lang w:val="en-US" w:eastAsia="zh-CN" w:bidi="zh-CN"/>
        </w:rPr>
        <w:t>单位或者个体工商户</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367" w:name="_Toc18427"/>
      <w:bookmarkStart w:id="368" w:name="_Toc21186"/>
      <w:bookmarkStart w:id="369" w:name="_Toc10536"/>
      <w:bookmarkStart w:id="370" w:name="_Toc2701"/>
      <w:bookmarkStart w:id="371" w:name="_Toc24802"/>
      <w:bookmarkStart w:id="372" w:name="_Toc21579"/>
      <w:bookmarkStart w:id="373" w:name="_Hlk99308596"/>
      <w:r>
        <w:rPr>
          <w:rFonts w:hint="eastAsia" w:asciiTheme="minorEastAsia" w:hAnsiTheme="minorEastAsia" w:eastAsiaTheme="minorEastAsia" w:cstheme="minorEastAsia"/>
          <w:b/>
          <w:color w:val="000000"/>
          <w:sz w:val="28"/>
          <w:szCs w:val="28"/>
        </w:rPr>
        <w:t>【优惠内容】</w:t>
      </w:r>
      <w:bookmarkEnd w:id="367"/>
      <w:bookmarkEnd w:id="368"/>
      <w:bookmarkEnd w:id="369"/>
      <w:bookmarkEnd w:id="370"/>
      <w:bookmarkEnd w:id="371"/>
      <w:bookmarkEnd w:id="372"/>
    </w:p>
    <w:bookmarkEnd w:id="373"/>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val="en-US"/>
        </w:rPr>
        <w:t>自2019年1月1日至2025年12月31日，</w:t>
      </w:r>
      <w:r>
        <w:rPr>
          <w:rFonts w:hint="eastAsia" w:asciiTheme="minorEastAsia" w:hAnsiTheme="minorEastAsia" w:eastAsiaTheme="minorEastAsia" w:cstheme="minorEastAsia"/>
          <w:color w:val="000000"/>
          <w:sz w:val="28"/>
          <w:szCs w:val="28"/>
        </w:rPr>
        <w:t>对单位或者个体工商户</w:t>
      </w:r>
      <w:bookmarkStart w:id="374" w:name="_Hlk99461115"/>
      <w:r>
        <w:rPr>
          <w:rFonts w:hint="eastAsia" w:asciiTheme="minorEastAsia" w:hAnsiTheme="minorEastAsia" w:eastAsiaTheme="minorEastAsia" w:cstheme="minorEastAsia"/>
          <w:color w:val="000000"/>
          <w:sz w:val="28"/>
          <w:szCs w:val="28"/>
        </w:rPr>
        <w:t>将自产、委托加工或购买的货物</w:t>
      </w:r>
      <w:bookmarkEnd w:id="374"/>
      <w:bookmarkStart w:id="375" w:name="_Hlk99461092"/>
      <w:r>
        <w:rPr>
          <w:rFonts w:hint="eastAsia" w:asciiTheme="minorEastAsia" w:hAnsiTheme="minorEastAsia" w:eastAsiaTheme="minorEastAsia" w:cstheme="minorEastAsia"/>
          <w:color w:val="000000"/>
          <w:sz w:val="28"/>
          <w:szCs w:val="28"/>
        </w:rPr>
        <w:t>通过公益性社会组织、县级及以上人民政府及其组成部门和直属机构，或直接无偿捐赠给目标脱贫地区的单位和个人</w:t>
      </w:r>
      <w:bookmarkEnd w:id="375"/>
      <w:r>
        <w:rPr>
          <w:rFonts w:hint="eastAsia" w:asciiTheme="minorEastAsia" w:hAnsiTheme="minorEastAsia" w:eastAsiaTheme="minorEastAsia" w:cstheme="minorEastAsia"/>
          <w:color w:val="000000"/>
          <w:sz w:val="28"/>
          <w:szCs w:val="28"/>
        </w:rPr>
        <w:t>，免征增值税。在政策执行期限内，目标脱贫地区实现脱贫的，可继续适用上述政策。</w:t>
      </w:r>
    </w:p>
    <w:p>
      <w:pPr>
        <w:keepNext w:val="0"/>
        <w:keepLines w:val="0"/>
        <w:pageBreakBefore w:val="0"/>
        <w:widowControl w:val="0"/>
        <w:kinsoku/>
        <w:wordWrap/>
        <w:overflowPunct/>
        <w:topLinePunct w:val="0"/>
        <w:bidi w:val="0"/>
        <w:adjustRightInd/>
        <w:snapToGrid/>
        <w:spacing w:line="600" w:lineRule="exact"/>
        <w:ind w:left="520" w:firstLine="200"/>
        <w:jc w:val="both"/>
        <w:textAlignment w:val="auto"/>
        <w:outlineLvl w:val="2"/>
        <w:rPr>
          <w:rFonts w:hint="eastAsia" w:asciiTheme="minorEastAsia" w:hAnsiTheme="minorEastAsia" w:eastAsiaTheme="minorEastAsia" w:cstheme="minorEastAsia"/>
          <w:b/>
          <w:color w:val="000000"/>
          <w:sz w:val="28"/>
          <w:szCs w:val="28"/>
          <w:lang w:val="en-US"/>
        </w:rPr>
      </w:pPr>
      <w:bookmarkStart w:id="376" w:name="_Toc13257"/>
      <w:bookmarkStart w:id="377" w:name="_Toc20567"/>
      <w:bookmarkStart w:id="378" w:name="_Toc11869"/>
      <w:bookmarkStart w:id="379" w:name="_Toc14985"/>
      <w:bookmarkStart w:id="380" w:name="_Toc760"/>
      <w:bookmarkStart w:id="381" w:name="_Toc10090"/>
      <w:r>
        <w:rPr>
          <w:rFonts w:hint="eastAsia" w:asciiTheme="minorEastAsia" w:hAnsiTheme="minorEastAsia" w:eastAsiaTheme="minorEastAsia" w:cstheme="minorEastAsia"/>
          <w:b/>
          <w:color w:val="000000"/>
          <w:sz w:val="28"/>
          <w:szCs w:val="28"/>
          <w:lang w:val="en-US"/>
        </w:rPr>
        <w:t>【享受条件】</w:t>
      </w:r>
      <w:bookmarkEnd w:id="376"/>
      <w:bookmarkEnd w:id="377"/>
      <w:bookmarkEnd w:id="378"/>
      <w:bookmarkEnd w:id="379"/>
      <w:bookmarkEnd w:id="380"/>
      <w:bookmarkEnd w:id="381"/>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1.“目标脱贫地区”包括832个国家扶贫开发工作重点县、集中连片特困地区县（新疆阿克苏地区6县1市享受片区政策）和建</w:t>
      </w:r>
      <w:bookmarkStart w:id="382" w:name="_Toc23096"/>
      <w:bookmarkStart w:id="383" w:name="_Toc1450"/>
      <w:bookmarkStart w:id="384" w:name="_Toc666"/>
      <w:bookmarkStart w:id="385" w:name="_Toc1818"/>
      <w:bookmarkStart w:id="386" w:name="_Toc11342"/>
      <w:bookmarkStart w:id="387" w:name="_Toc21413"/>
    </w:p>
    <w:p>
      <w:pPr>
        <w:pStyle w:val="14"/>
        <w:keepNext w:val="0"/>
        <w:keepLines w:val="0"/>
        <w:pageBreakBefore w:val="0"/>
        <w:widowControl w:val="0"/>
        <w:kinsoku/>
        <w:wordWrap/>
        <w:overflowPunct/>
        <w:topLinePunct w:val="0"/>
        <w:bidi w:val="0"/>
        <w:adjustRightInd/>
        <w:snapToGrid/>
        <w:spacing w:line="600" w:lineRule="exact"/>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档立卡贫困村。</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2.在2015年1月1日至2018年12月31日期间已发生的符合上述条件的扶贫货物捐赠，可追溯执行上述增值税政策。</w:t>
      </w:r>
    </w:p>
    <w:p>
      <w:pPr>
        <w:pStyle w:val="14"/>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3.本政策执行前已征收入库的按规定应予免征的增值税税款，可抵减纳税人以后月份应缴纳的增值税税款或者办理税款退库。已向购买方开具增值税专用发票的，应将专用发票追回后方可办理免税。无法追回专用发票的，不予免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【政策依据】</w:t>
      </w:r>
      <w:bookmarkEnd w:id="382"/>
      <w:bookmarkEnd w:id="383"/>
      <w:bookmarkEnd w:id="384"/>
      <w:bookmarkEnd w:id="385"/>
      <w:bookmarkEnd w:id="386"/>
      <w:bookmarkEnd w:id="387"/>
    </w:p>
    <w:p>
      <w:pPr>
        <w:pStyle w:val="14"/>
        <w:keepNext w:val="0"/>
        <w:keepLines w:val="0"/>
        <w:pageBreakBefore w:val="0"/>
        <w:widowControl w:val="0"/>
        <w:kinsoku/>
        <w:wordWrap/>
        <w:overflowPunct/>
        <w:topLinePunct w:val="0"/>
        <w:bidi w:val="0"/>
        <w:adjustRightInd/>
        <w:snapToGrid w:val="0"/>
        <w:spacing w:line="360" w:lineRule="auto"/>
        <w:ind w:firstLine="560" w:firstLineChars="200"/>
        <w:jc w:val="both"/>
        <w:textAlignment w:val="auto"/>
        <w:outlineLvl w:val="2"/>
        <w:rPr>
          <w:rFonts w:hint="eastAsia" w:asciiTheme="minorEastAsia" w:hAnsiTheme="minorEastAsia" w:eastAsiaTheme="minorEastAsia" w:cstheme="minorEastAsia"/>
          <w:color w:val="000000"/>
          <w:sz w:val="28"/>
          <w:szCs w:val="28"/>
          <w:lang w:bidi="zh-CN"/>
        </w:rPr>
      </w:pPr>
      <w:r>
        <w:rPr>
          <w:rFonts w:hint="eastAsia" w:asciiTheme="minorEastAsia" w:hAnsiTheme="minorEastAsia" w:eastAsiaTheme="minorEastAsia" w:cstheme="minorEastAsia"/>
          <w:color w:val="000000"/>
          <w:sz w:val="28"/>
          <w:szCs w:val="28"/>
          <w:lang w:bidi="zh-CN"/>
        </w:rPr>
        <w:t>1.《财政部 税务总局 人力资源社会保障部 国家乡村振兴局关于延长部分扶贫税收优惠政策执行期限的公告》（2021年第18号）</w:t>
      </w:r>
    </w:p>
    <w:p>
      <w:pPr>
        <w:pStyle w:val="14"/>
        <w:snapToGrid w:val="0"/>
        <w:spacing w:line="360" w:lineRule="auto"/>
        <w:ind w:firstLine="560" w:firstLineChars="200"/>
        <w:outlineLvl w:val="2"/>
        <w:rPr>
          <w:rFonts w:hint="eastAsia" w:asciiTheme="minorEastAsia" w:hAnsiTheme="minorEastAsia" w:eastAsiaTheme="minorEastAsia" w:cstheme="minorEastAsia"/>
          <w:color w:val="000000"/>
          <w:spacing w:val="11"/>
          <w:w w:val="95"/>
          <w:sz w:val="28"/>
          <w:szCs w:val="28"/>
          <w:lang w:val="en-US"/>
        </w:rPr>
      </w:pPr>
      <w:r>
        <w:rPr>
          <w:rFonts w:hint="eastAsia" w:asciiTheme="minorEastAsia" w:hAnsiTheme="minorEastAsia" w:eastAsiaTheme="minorEastAsia" w:cstheme="minorEastAsia"/>
          <w:color w:val="000000"/>
          <w:sz w:val="28"/>
          <w:szCs w:val="28"/>
          <w:lang w:bidi="zh-CN"/>
        </w:rPr>
        <w:t>2.《财政部 税务总局 国务院扶贫办关于扶贫货物捐赠免征增值税政策的公告》（2019年第55号）</w:t>
      </w:r>
    </w:p>
    <w:p>
      <w:pPr>
        <w:pStyle w:val="4"/>
        <w:keepNext w:val="0"/>
        <w:keepLines w:val="0"/>
        <w:pageBreakBefore w:val="0"/>
        <w:widowControl w:val="0"/>
        <w:numPr>
          <w:ilvl w:val="0"/>
          <w:numId w:val="0"/>
        </w:numPr>
        <w:tabs>
          <w:tab w:val="left" w:pos="484"/>
        </w:tabs>
        <w:kinsoku/>
        <w:wordWrap/>
        <w:overflowPunct/>
        <w:topLinePunct w:val="0"/>
        <w:bidi w:val="0"/>
        <w:adjustRightInd/>
        <w:snapToGrid w:val="0"/>
        <w:spacing w:line="360" w:lineRule="auto"/>
        <w:ind w:leftChars="0" w:firstLine="562" w:firstLineChars="200"/>
        <w:jc w:val="both"/>
        <w:textAlignment w:val="auto"/>
        <w:rPr>
          <w:rFonts w:hint="eastAsia" w:asciiTheme="minorEastAsia" w:hAnsiTheme="minorEastAsia" w:eastAsiaTheme="minorEastAsia" w:cstheme="minorEastAsia"/>
          <w:color w:val="000000"/>
          <w:sz w:val="28"/>
          <w:szCs w:val="28"/>
          <w:lang w:val="en-US"/>
        </w:rPr>
      </w:pPr>
      <w:bookmarkStart w:id="388" w:name="_Toc12002"/>
      <w:bookmarkStart w:id="389" w:name="_Toc354659431"/>
      <w:bookmarkStart w:id="390" w:name="_Toc957813041"/>
      <w:bookmarkStart w:id="391" w:name="_Toc969224127"/>
      <w:bookmarkStart w:id="392" w:name="_Toc1866612321"/>
      <w:bookmarkStart w:id="393" w:name="_Toc5285"/>
      <w:r>
        <w:rPr>
          <w:rFonts w:hint="eastAsia" w:asciiTheme="minorEastAsia" w:hAnsiTheme="minorEastAsia" w:eastAsiaTheme="minorEastAsia" w:cstheme="minorEastAsia"/>
          <w:color w:val="000000"/>
          <w:sz w:val="28"/>
          <w:szCs w:val="28"/>
          <w:lang w:val="en-US" w:eastAsia="zh-CN"/>
        </w:rPr>
        <w:t>（十七）</w:t>
      </w:r>
      <w:r>
        <w:rPr>
          <w:rFonts w:hint="eastAsia" w:asciiTheme="minorEastAsia" w:hAnsiTheme="minorEastAsia" w:eastAsiaTheme="minorEastAsia" w:cstheme="minorEastAsia"/>
          <w:color w:val="000000"/>
          <w:sz w:val="28"/>
          <w:szCs w:val="28"/>
          <w:lang w:val="en-US"/>
        </w:rPr>
        <w:t>自主就业退役士兵创业税费扣减</w:t>
      </w:r>
      <w:bookmarkStart w:id="394" w:name="_Toc14442"/>
      <w:bookmarkStart w:id="395" w:name="_Toc7555"/>
      <w:bookmarkStart w:id="396" w:name="_Toc8153"/>
      <w:bookmarkStart w:id="397" w:name="_Toc23307"/>
      <w:bookmarkStart w:id="398" w:name="_Toc15001"/>
      <w:bookmarkStart w:id="399" w:name="_Toc26117"/>
      <w:bookmarkStart w:id="400" w:name="_Toc27605"/>
      <w:bookmarkStart w:id="401" w:name="_Toc18485"/>
      <w:bookmarkStart w:id="402" w:name="_Toc7906"/>
      <w:bookmarkStart w:id="403" w:name="_Toc31806"/>
      <w:bookmarkStart w:id="404" w:name="_Toc11293"/>
      <w:r>
        <w:rPr>
          <w:rFonts w:hint="eastAsia" w:asciiTheme="minorEastAsia" w:hAnsiTheme="minorEastAsia" w:eastAsiaTheme="minorEastAsia" w:cstheme="minorEastAsia"/>
          <w:color w:val="000000"/>
          <w:sz w:val="28"/>
          <w:szCs w:val="28"/>
          <w:lang w:val="en-US" w:eastAsia="zh-CN"/>
        </w:rPr>
        <w:t>政策</w:t>
      </w:r>
      <w:bookmarkEnd w:id="388"/>
      <w:bookmarkEnd w:id="389"/>
      <w:bookmarkEnd w:id="390"/>
      <w:bookmarkEnd w:id="391"/>
      <w:bookmarkEnd w:id="392"/>
      <w:bookmarkEnd w:id="393"/>
    </w:p>
    <w:p>
      <w:pPr>
        <w:keepNext w:val="0"/>
        <w:keepLines w:val="0"/>
        <w:pageBreakBefore w:val="0"/>
        <w:widowControl w:val="0"/>
        <w:kinsoku/>
        <w:wordWrap/>
        <w:overflowPunct/>
        <w:topLinePunct w:val="0"/>
        <w:bidi w:val="0"/>
        <w:adjustRightInd/>
        <w:snapToGrid w:val="0"/>
        <w:spacing w:line="360" w:lineRule="auto"/>
        <w:ind w:left="520"/>
        <w:jc w:val="both"/>
        <w:textAlignment w:val="auto"/>
        <w:outlineLvl w:val="2"/>
        <w:rPr>
          <w:rFonts w:hint="eastAsia" w:asciiTheme="minorEastAsia" w:hAnsiTheme="minorEastAsia" w:eastAsiaTheme="minorEastAsia" w:cstheme="minorEastAsia"/>
          <w:b/>
          <w:color w:val="000000"/>
          <w:sz w:val="28"/>
          <w:szCs w:val="28"/>
        </w:rPr>
      </w:pPr>
      <w:bookmarkStart w:id="405" w:name="_Toc99405793"/>
      <w:bookmarkStart w:id="406" w:name="_Toc99359248"/>
      <w:bookmarkStart w:id="407" w:name="_Toc99527791"/>
      <w:bookmarkStart w:id="408" w:name="_Toc99403180"/>
      <w:bookmarkStart w:id="409" w:name="_Toc99467081"/>
      <w:bookmarkStart w:id="410" w:name="_Toc99443536"/>
      <w:bookmarkStart w:id="411" w:name="_Toc99528509"/>
      <w:bookmarkStart w:id="412" w:name="_Toc99378995"/>
      <w:bookmarkStart w:id="413" w:name="_Toc99525928"/>
      <w:bookmarkStart w:id="414" w:name="_Toc99525461"/>
      <w:r>
        <w:rPr>
          <w:rFonts w:hint="eastAsia" w:asciiTheme="minorEastAsia" w:hAnsiTheme="minorEastAsia" w:eastAsiaTheme="minorEastAsia" w:cstheme="minorEastAsia"/>
          <w:b/>
          <w:color w:val="000000"/>
          <w:sz w:val="28"/>
          <w:szCs w:val="28"/>
        </w:rPr>
        <w:t>【享受主体】</w:t>
      </w:r>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pPr>
        <w:pStyle w:val="8"/>
        <w:keepNext w:val="0"/>
        <w:keepLines w:val="0"/>
        <w:pageBreakBefore w:val="0"/>
        <w:widowControl w:val="0"/>
        <w:kinsoku/>
        <w:wordWrap/>
        <w:overflowPunct/>
        <w:topLinePunct w:val="0"/>
        <w:bidi w:val="0"/>
        <w:adjustRightInd/>
        <w:snapToGrid w:val="0"/>
        <w:spacing w:line="360" w:lineRule="auto"/>
        <w:ind w:left="519" w:leftChars="236" w:right="301"/>
        <w:jc w:val="both"/>
        <w:textAlignment w:val="auto"/>
        <w:outlineLvl w:val="2"/>
        <w:rPr>
          <w:rFonts w:hint="eastAsia" w:asciiTheme="minorEastAsia" w:hAnsiTheme="minorEastAsia" w:eastAsiaTheme="minorEastAsia" w:cstheme="minorEastAsia"/>
          <w:color w:val="000000"/>
          <w:spacing w:val="6"/>
          <w:w w:val="95"/>
          <w:sz w:val="28"/>
          <w:szCs w:val="28"/>
          <w:lang w:val="en-US"/>
        </w:rPr>
      </w:pPr>
      <w:r>
        <w:rPr>
          <w:rFonts w:hint="eastAsia" w:asciiTheme="minorEastAsia" w:hAnsiTheme="minorEastAsia" w:eastAsiaTheme="minorEastAsia" w:cstheme="minorEastAsia"/>
          <w:color w:val="000000"/>
          <w:sz w:val="28"/>
          <w:szCs w:val="28"/>
          <w:lang w:val="en-US"/>
        </w:rPr>
        <w:t>自主就业退役士兵</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415" w:name="_Toc6071"/>
      <w:bookmarkStart w:id="416" w:name="_Toc3422"/>
      <w:bookmarkStart w:id="417" w:name="_Toc12614"/>
      <w:bookmarkStart w:id="418" w:name="_Toc19516"/>
      <w:bookmarkStart w:id="419" w:name="_Toc14651"/>
      <w:bookmarkStart w:id="420" w:name="_Toc22340"/>
      <w:bookmarkStart w:id="421" w:name="_Toc23232"/>
      <w:bookmarkStart w:id="422" w:name="_Toc30618"/>
      <w:bookmarkStart w:id="423" w:name="_Toc27019"/>
      <w:r>
        <w:rPr>
          <w:rFonts w:hint="eastAsia" w:asciiTheme="minorEastAsia" w:hAnsiTheme="minorEastAsia" w:eastAsiaTheme="minorEastAsia" w:cstheme="minorEastAsia"/>
          <w:b/>
          <w:color w:val="000000"/>
          <w:sz w:val="28"/>
          <w:szCs w:val="28"/>
        </w:rPr>
        <w:t>【优惠内容】</w:t>
      </w:r>
      <w:bookmarkEnd w:id="415"/>
      <w:bookmarkEnd w:id="416"/>
      <w:bookmarkEnd w:id="417"/>
      <w:bookmarkEnd w:id="418"/>
      <w:bookmarkEnd w:id="419"/>
      <w:bookmarkEnd w:id="420"/>
      <w:bookmarkEnd w:id="421"/>
      <w:bookmarkEnd w:id="422"/>
      <w:bookmarkEnd w:id="423"/>
    </w:p>
    <w:p>
      <w:pPr>
        <w:pStyle w:val="8"/>
        <w:keepNext w:val="0"/>
        <w:keepLines w:val="0"/>
        <w:pageBreakBefore w:val="0"/>
        <w:widowControl w:val="0"/>
        <w:kinsoku/>
        <w:wordWrap/>
        <w:overflowPunct/>
        <w:topLinePunct w:val="0"/>
        <w:bidi w:val="0"/>
        <w:adjustRightInd/>
        <w:snapToGrid/>
        <w:spacing w:line="600" w:lineRule="exact"/>
        <w:ind w:left="0" w:right="340" w:firstLine="560" w:firstLineChars="200"/>
        <w:jc w:val="both"/>
        <w:textAlignment w:val="auto"/>
        <w:outlineLvl w:val="2"/>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rPr>
        <w:t>自2019年1月1日至2023年12月31日，自主就业退役士兵从事个体经营的，自办理个体工商户登记当月起，在3年（36个月）内按每户每年</w:t>
      </w:r>
      <w:r>
        <w:rPr>
          <w:rFonts w:hint="eastAsia" w:asciiTheme="minorEastAsia" w:hAnsiTheme="minorEastAsia" w:eastAsiaTheme="minorEastAsia" w:cstheme="minorEastAsia"/>
          <w:color w:val="auto"/>
          <w:sz w:val="28"/>
          <w:szCs w:val="28"/>
          <w:lang w:val="en-US" w:eastAsia="zh-CN"/>
        </w:rPr>
        <w:t>1440</w:t>
      </w:r>
      <w:r>
        <w:rPr>
          <w:rFonts w:hint="eastAsia" w:asciiTheme="minorEastAsia" w:hAnsiTheme="minorEastAsia" w:eastAsiaTheme="minorEastAsia" w:cstheme="minorEastAsia"/>
          <w:color w:val="auto"/>
          <w:sz w:val="28"/>
          <w:szCs w:val="28"/>
          <w:lang w:val="en-US"/>
        </w:rPr>
        <w:t>0元为限额依次扣减其当年实际应缴纳的增值税、城市维护建设税、教育费附加、地方教育附加和个人所得税。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424" w:name="_Toc31916"/>
      <w:bookmarkStart w:id="425" w:name="_Toc18851"/>
      <w:bookmarkStart w:id="426" w:name="_Toc12809"/>
      <w:bookmarkStart w:id="427" w:name="_Toc7757"/>
      <w:bookmarkStart w:id="428" w:name="_Toc21557"/>
      <w:bookmarkStart w:id="429" w:name="_Toc16093"/>
      <w:bookmarkStart w:id="430" w:name="_Toc31728"/>
      <w:bookmarkStart w:id="431" w:name="_Toc32521"/>
      <w:bookmarkStart w:id="432" w:name="_Toc7449"/>
      <w:r>
        <w:rPr>
          <w:rFonts w:hint="eastAsia" w:asciiTheme="minorEastAsia" w:hAnsiTheme="minorEastAsia" w:eastAsiaTheme="minorEastAsia" w:cstheme="minorEastAsia"/>
          <w:b/>
          <w:color w:val="000000"/>
          <w:sz w:val="28"/>
          <w:szCs w:val="28"/>
        </w:rPr>
        <w:t>【享受条件】</w:t>
      </w:r>
      <w:bookmarkEnd w:id="424"/>
      <w:bookmarkEnd w:id="425"/>
      <w:bookmarkEnd w:id="426"/>
      <w:bookmarkEnd w:id="427"/>
      <w:bookmarkEnd w:id="428"/>
      <w:bookmarkEnd w:id="429"/>
      <w:bookmarkEnd w:id="430"/>
      <w:bookmarkEnd w:id="431"/>
      <w:bookmarkEnd w:id="432"/>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1"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xml:space="preserve">1.自主就业退役士兵，是指依照《退役士兵安置条例》（国务院 中央军委令第608号）的规定退出现役并按自主就业方式安置的退役士兵。 </w:t>
      </w:r>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1"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xml:space="preserve">2.纳税人年度应缴纳税款小于上述扣减限额的，减免税额以其实际缴纳的税款为限；大于上述扣减限额的，以上述扣减限额为限。 </w:t>
      </w:r>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1" w:firstLineChars="20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color w:val="000000"/>
          <w:sz w:val="28"/>
          <w:szCs w:val="28"/>
        </w:rPr>
        <w:t>3.城市维护建设税、教育费附加、地方教育附加的计税依据是享受本项税收优惠政策前的增值税应纳税额。</w:t>
      </w:r>
      <w:bookmarkStart w:id="433" w:name="_Toc21187"/>
      <w:bookmarkStart w:id="434" w:name="_Toc20685"/>
      <w:bookmarkStart w:id="435" w:name="_Toc28430"/>
      <w:bookmarkStart w:id="436" w:name="_Toc25814"/>
      <w:bookmarkStart w:id="437" w:name="_Toc4751"/>
      <w:bookmarkStart w:id="438" w:name="_Toc19359"/>
      <w:bookmarkStart w:id="439" w:name="_Toc23027"/>
      <w:bookmarkStart w:id="440" w:name="_Toc26169"/>
      <w:bookmarkStart w:id="441" w:name="_Toc18618"/>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bookmarkEnd w:id="433"/>
      <w:bookmarkEnd w:id="434"/>
      <w:bookmarkEnd w:id="435"/>
      <w:bookmarkEnd w:id="436"/>
      <w:bookmarkEnd w:id="437"/>
      <w:bookmarkEnd w:id="438"/>
      <w:bookmarkEnd w:id="439"/>
      <w:bookmarkEnd w:id="440"/>
      <w:bookmarkEnd w:id="441"/>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1.《财政部 税务总局关于延长部分税收优惠政策执行期限的公告》（2022年第4号）</w:t>
      </w:r>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2.《财政部 税务总局 退役军人部关于进一步扶持自主就业退役士兵创业就业有关税收政策的通知》（财税〔2019〕21号）</w:t>
      </w:r>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0" w:firstLineChars="200"/>
        <w:jc w:val="both"/>
        <w:textAlignment w:val="auto"/>
        <w:outlineLvl w:val="2"/>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3.《云南省财政厅 国家税务总局云南省税务局 云南省退役军人事务厅关于延长进一步扶持自主就业退役士兵创业就业有关税收政策执行期限的公告》</w:t>
      </w:r>
      <w:bookmarkStart w:id="442" w:name="page12"/>
      <w:bookmarkEnd w:id="442"/>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eastAsia="zh-CN"/>
        </w:rPr>
        <w:t>云</w:t>
      </w:r>
      <w:r>
        <w:rPr>
          <w:rFonts w:hint="eastAsia" w:asciiTheme="minorEastAsia" w:hAnsiTheme="minorEastAsia" w:eastAsiaTheme="minorEastAsia" w:cstheme="minorEastAsia"/>
          <w:color w:val="auto"/>
          <w:sz w:val="28"/>
          <w:szCs w:val="28"/>
        </w:rPr>
        <w:t>财税〔2019〕21号）</w:t>
      </w:r>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0" w:firstLineChars="200"/>
        <w:jc w:val="both"/>
        <w:textAlignment w:val="auto"/>
        <w:outlineLvl w:val="2"/>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4.《云南省财政厅 国家税务总局云南省税务局 云南省退役军人事务厅关于延长进一步扶持自主就业退役士兵创业就业有关税收政策执行期限的公告》（2022年第3号）</w:t>
      </w:r>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0" w:firstLineChars="200"/>
        <w:jc w:val="both"/>
        <w:textAlignment w:val="auto"/>
        <w:outlineLvl w:val="2"/>
        <w:rPr>
          <w:rFonts w:hint="default" w:asciiTheme="minorEastAsia" w:hAnsiTheme="minorEastAsia" w:eastAsiaTheme="minorEastAsia" w:cstheme="minorEastAsia"/>
          <w:color w:val="auto"/>
          <w:sz w:val="28"/>
          <w:szCs w:val="28"/>
          <w:lang w:val="en-US" w:eastAsia="zh-CN"/>
        </w:rPr>
      </w:pPr>
    </w:p>
    <w:p>
      <w:pPr>
        <w:pStyle w:val="4"/>
        <w:keepNext w:val="0"/>
        <w:keepLines w:val="0"/>
        <w:pageBreakBefore w:val="0"/>
        <w:widowControl w:val="0"/>
        <w:numPr>
          <w:ilvl w:val="0"/>
          <w:numId w:val="0"/>
        </w:numPr>
        <w:tabs>
          <w:tab w:val="left" w:pos="484"/>
        </w:tabs>
        <w:kinsoku/>
        <w:wordWrap/>
        <w:overflowPunct/>
        <w:topLinePunct w:val="0"/>
        <w:bidi w:val="0"/>
        <w:adjustRightInd/>
        <w:snapToGrid w:val="0"/>
        <w:spacing w:line="360" w:lineRule="auto"/>
        <w:ind w:leftChars="0" w:firstLine="562" w:firstLineChars="200"/>
        <w:jc w:val="both"/>
        <w:textAlignment w:val="auto"/>
        <w:rPr>
          <w:rFonts w:hint="eastAsia" w:asciiTheme="minorEastAsia" w:hAnsiTheme="minorEastAsia" w:eastAsiaTheme="minorEastAsia" w:cstheme="minorEastAsia"/>
          <w:color w:val="000000"/>
          <w:sz w:val="28"/>
          <w:szCs w:val="28"/>
          <w:lang w:val="en-US"/>
        </w:rPr>
      </w:pPr>
      <w:bookmarkStart w:id="443" w:name="_Toc1435126861"/>
      <w:bookmarkStart w:id="444" w:name="_Toc1970303551"/>
      <w:bookmarkStart w:id="445" w:name="_Toc412575837"/>
      <w:bookmarkStart w:id="446" w:name="_Toc38235249"/>
      <w:bookmarkStart w:id="447" w:name="_Toc25808"/>
      <w:bookmarkStart w:id="448" w:name="_Toc27941"/>
      <w:r>
        <w:rPr>
          <w:rFonts w:hint="eastAsia" w:asciiTheme="minorEastAsia" w:hAnsiTheme="minorEastAsia" w:eastAsiaTheme="minorEastAsia" w:cstheme="minorEastAsia"/>
          <w:color w:val="000000"/>
          <w:sz w:val="28"/>
          <w:szCs w:val="28"/>
          <w:lang w:val="en-US" w:eastAsia="zh-CN"/>
        </w:rPr>
        <w:t>（十八）</w:t>
      </w:r>
      <w:r>
        <w:rPr>
          <w:rFonts w:hint="eastAsia" w:asciiTheme="minorEastAsia" w:hAnsiTheme="minorEastAsia" w:eastAsiaTheme="minorEastAsia" w:cstheme="minorEastAsia"/>
          <w:color w:val="000000"/>
          <w:sz w:val="28"/>
          <w:szCs w:val="28"/>
          <w:lang w:val="en-US"/>
        </w:rPr>
        <w:t>吸纳退役士兵就业税费扣减</w:t>
      </w:r>
      <w:r>
        <w:rPr>
          <w:rFonts w:hint="eastAsia" w:asciiTheme="minorEastAsia" w:hAnsiTheme="minorEastAsia" w:eastAsiaTheme="minorEastAsia" w:cstheme="minorEastAsia"/>
          <w:color w:val="000000"/>
          <w:sz w:val="28"/>
          <w:szCs w:val="28"/>
          <w:lang w:val="en-US" w:eastAsia="zh-CN"/>
        </w:rPr>
        <w:t>政策</w:t>
      </w:r>
      <w:bookmarkEnd w:id="443"/>
      <w:bookmarkEnd w:id="444"/>
      <w:bookmarkEnd w:id="445"/>
      <w:bookmarkEnd w:id="446"/>
      <w:bookmarkEnd w:id="447"/>
      <w:bookmarkEnd w:id="448"/>
      <w:bookmarkStart w:id="449" w:name="_Toc99378997"/>
      <w:bookmarkStart w:id="450" w:name="_Toc99405795"/>
      <w:bookmarkStart w:id="451" w:name="_Toc99403182"/>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452" w:name="_Toc99443538"/>
      <w:bookmarkStart w:id="453" w:name="_Toc99527793"/>
      <w:bookmarkStart w:id="454" w:name="_Toc99528511"/>
      <w:bookmarkStart w:id="455" w:name="_Toc99525463"/>
      <w:bookmarkStart w:id="456" w:name="_Toc99525930"/>
      <w:bookmarkStart w:id="457" w:name="_Toc99467083"/>
      <w:r>
        <w:rPr>
          <w:rFonts w:hint="eastAsia" w:asciiTheme="minorEastAsia" w:hAnsiTheme="minorEastAsia" w:eastAsiaTheme="minorEastAsia" w:cstheme="minorEastAsia"/>
          <w:b/>
          <w:color w:val="000000"/>
          <w:sz w:val="28"/>
          <w:szCs w:val="28"/>
        </w:rPr>
        <w:t>【享受主体】</w:t>
      </w:r>
      <w:bookmarkEnd w:id="449"/>
      <w:bookmarkEnd w:id="450"/>
      <w:bookmarkEnd w:id="451"/>
      <w:bookmarkEnd w:id="452"/>
      <w:bookmarkEnd w:id="453"/>
      <w:bookmarkEnd w:id="454"/>
      <w:bookmarkEnd w:id="455"/>
      <w:bookmarkEnd w:id="456"/>
      <w:bookmarkEnd w:id="457"/>
      <w:r>
        <w:rPr>
          <w:rFonts w:hint="eastAsia" w:asciiTheme="minorEastAsia" w:hAnsiTheme="minorEastAsia" w:eastAsiaTheme="minorEastAsia" w:cstheme="minorEastAsia"/>
          <w:b/>
          <w:color w:val="000000"/>
          <w:sz w:val="28"/>
          <w:szCs w:val="28"/>
        </w:rPr>
        <w:t xml:space="preserve"> </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招用自主就业退役士兵并与其签订1年以上期限劳动合同并依法缴纳社会保险费的企业</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458" w:name="_Toc99405796"/>
      <w:bookmarkStart w:id="459" w:name="_Toc99467084"/>
      <w:bookmarkStart w:id="460" w:name="_Toc99443539"/>
      <w:bookmarkStart w:id="461" w:name="_Toc99527794"/>
      <w:bookmarkStart w:id="462" w:name="_Toc99378998"/>
      <w:bookmarkStart w:id="463" w:name="_Toc99403183"/>
      <w:bookmarkStart w:id="464" w:name="_Toc99528512"/>
      <w:bookmarkStart w:id="465" w:name="_Toc99525464"/>
      <w:bookmarkStart w:id="466" w:name="_Toc99525931"/>
      <w:r>
        <w:rPr>
          <w:rFonts w:hint="eastAsia" w:asciiTheme="minorEastAsia" w:hAnsiTheme="minorEastAsia" w:eastAsiaTheme="minorEastAsia" w:cstheme="minorEastAsia"/>
          <w:b/>
          <w:color w:val="000000"/>
          <w:sz w:val="28"/>
          <w:szCs w:val="28"/>
        </w:rPr>
        <w:t>【优惠内容】</w:t>
      </w:r>
      <w:bookmarkEnd w:id="458"/>
      <w:bookmarkEnd w:id="459"/>
      <w:bookmarkEnd w:id="460"/>
      <w:bookmarkEnd w:id="461"/>
      <w:bookmarkEnd w:id="462"/>
      <w:bookmarkEnd w:id="463"/>
      <w:bookmarkEnd w:id="464"/>
      <w:bookmarkEnd w:id="465"/>
      <w:bookmarkEnd w:id="466"/>
      <w:r>
        <w:rPr>
          <w:rFonts w:hint="eastAsia" w:asciiTheme="minorEastAsia" w:hAnsiTheme="minorEastAsia" w:eastAsiaTheme="minorEastAsia" w:cstheme="minorEastAsia"/>
          <w:b/>
          <w:color w:val="000000"/>
          <w:sz w:val="28"/>
          <w:szCs w:val="28"/>
        </w:rPr>
        <w:t xml:space="preserve"> </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2019年1月1日至2023年12月31日，招用自主就业退役士兵，与其签订1年以上期限劳动合同并依法缴纳社会保险费的，自签订劳动合同并缴纳社会保险当月起，在3年</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36个月）</w:t>
      </w:r>
      <w:r>
        <w:rPr>
          <w:rFonts w:hint="eastAsia" w:asciiTheme="minorEastAsia" w:hAnsiTheme="minorEastAsia" w:eastAsiaTheme="minorEastAsia" w:cstheme="minorEastAsia"/>
          <w:color w:val="auto"/>
          <w:sz w:val="28"/>
          <w:szCs w:val="28"/>
        </w:rPr>
        <w:t>内按实际招用人数以每</w:t>
      </w:r>
      <w:r>
        <w:rPr>
          <w:rFonts w:hint="eastAsia" w:asciiTheme="minorEastAsia" w:hAnsiTheme="minorEastAsia" w:eastAsiaTheme="minorEastAsia" w:cstheme="minorEastAsia"/>
          <w:color w:val="auto"/>
          <w:sz w:val="28"/>
          <w:szCs w:val="28"/>
          <w:lang w:eastAsia="zh-CN"/>
        </w:rPr>
        <w:t>人</w:t>
      </w:r>
      <w:r>
        <w:rPr>
          <w:rFonts w:hint="eastAsia" w:asciiTheme="minorEastAsia" w:hAnsiTheme="minorEastAsia" w:eastAsiaTheme="minorEastAsia" w:cstheme="minorEastAsia"/>
          <w:color w:val="auto"/>
          <w:sz w:val="28"/>
          <w:szCs w:val="28"/>
        </w:rPr>
        <w:t>每年</w:t>
      </w:r>
      <w:r>
        <w:rPr>
          <w:rFonts w:hint="eastAsia" w:asciiTheme="minorEastAsia" w:hAnsiTheme="minorEastAsia" w:eastAsiaTheme="minorEastAsia" w:cstheme="minorEastAsia"/>
          <w:color w:val="auto"/>
          <w:sz w:val="28"/>
          <w:szCs w:val="28"/>
          <w:lang w:val="en-US" w:eastAsia="zh-CN"/>
        </w:rPr>
        <w:t>9000元</w:t>
      </w:r>
      <w:r>
        <w:rPr>
          <w:rFonts w:hint="eastAsia" w:asciiTheme="minorEastAsia" w:hAnsiTheme="minorEastAsia" w:eastAsiaTheme="minorEastAsia" w:cstheme="minorEastAsia"/>
          <w:color w:val="auto"/>
          <w:sz w:val="28"/>
          <w:szCs w:val="28"/>
        </w:rPr>
        <w:t>依次扣减增值税、城市维护建设税、教育费附加、地方教育附加和企业所得税优惠。</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467" w:name="_Toc99525465"/>
      <w:bookmarkStart w:id="468" w:name="_Toc99467085"/>
      <w:bookmarkStart w:id="469" w:name="_Toc99405797"/>
      <w:bookmarkStart w:id="470" w:name="_Toc99527795"/>
      <w:bookmarkStart w:id="471" w:name="_Toc99525932"/>
      <w:bookmarkStart w:id="472" w:name="_Toc99378999"/>
      <w:bookmarkStart w:id="473" w:name="_Toc99528513"/>
      <w:bookmarkStart w:id="474" w:name="_Toc99443540"/>
      <w:bookmarkStart w:id="475" w:name="_Toc99403184"/>
      <w:r>
        <w:rPr>
          <w:rFonts w:hint="eastAsia" w:asciiTheme="minorEastAsia" w:hAnsiTheme="minorEastAsia" w:eastAsiaTheme="minorEastAsia" w:cstheme="minorEastAsia"/>
          <w:b/>
          <w:color w:val="000000"/>
          <w:sz w:val="28"/>
          <w:szCs w:val="28"/>
        </w:rPr>
        <w:t>【享受条件】</w:t>
      </w:r>
      <w:bookmarkEnd w:id="467"/>
      <w:bookmarkEnd w:id="468"/>
      <w:bookmarkEnd w:id="469"/>
      <w:bookmarkEnd w:id="470"/>
      <w:bookmarkEnd w:id="471"/>
      <w:bookmarkEnd w:id="472"/>
      <w:bookmarkEnd w:id="473"/>
      <w:bookmarkEnd w:id="474"/>
      <w:bookmarkEnd w:id="475"/>
      <w:r>
        <w:rPr>
          <w:rFonts w:hint="eastAsia" w:asciiTheme="minorEastAsia" w:hAnsiTheme="minorEastAsia" w:eastAsiaTheme="minorEastAsia" w:cstheme="minorEastAsia"/>
          <w:b/>
          <w:color w:val="000000"/>
          <w:sz w:val="28"/>
          <w:szCs w:val="28"/>
        </w:rPr>
        <w:t xml:space="preserve"> </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1.自主就业退役士兵，是指依照《退役士兵安置条例》（国务院 中央军委令第608号）的规定退出现役并按自主就业方式安置的退役士兵。</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w:t>
      </w:r>
      <w:r>
        <w:rPr>
          <w:rFonts w:hint="eastAsia" w:asciiTheme="minorEastAsia" w:hAnsiTheme="minorEastAsia" w:eastAsiaTheme="minorEastAsia" w:cstheme="minorEastAsia"/>
          <w:color w:val="000000"/>
          <w:sz w:val="28"/>
          <w:szCs w:val="28"/>
          <w:lang w:eastAsia="zh-CN"/>
        </w:rPr>
        <w:t>.本</w:t>
      </w:r>
      <w:r>
        <w:rPr>
          <w:rFonts w:hint="eastAsia" w:asciiTheme="minorEastAsia" w:hAnsiTheme="minorEastAsia" w:eastAsiaTheme="minorEastAsia" w:cstheme="minorEastAsia"/>
          <w:color w:val="000000"/>
          <w:sz w:val="28"/>
          <w:szCs w:val="28"/>
        </w:rPr>
        <w:t xml:space="preserve">政策中的企业，是指属于增值税纳税人或企业所得税纳税人的企业等单位。 </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xml:space="preserve">3.企业与招用自主就业退役士兵签订1年以上期限劳动合同并依法缴纳社会保险费。 </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auto"/>
          <w:sz w:val="28"/>
          <w:szCs w:val="28"/>
        </w:rPr>
        <w:t>4.企业既可以适用上述税收优惠政策，又可以适用其他扶持就业专项</w:t>
      </w:r>
      <w:r>
        <w:rPr>
          <w:rFonts w:hint="eastAsia" w:asciiTheme="minorEastAsia" w:hAnsiTheme="minorEastAsia" w:eastAsiaTheme="minorEastAsia" w:cstheme="minorEastAsia"/>
          <w:color w:val="000000"/>
          <w:sz w:val="28"/>
          <w:szCs w:val="28"/>
        </w:rPr>
        <w:t>税收优惠政策的，可以选择适用最优惠的政策，但不得重复享受。</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5.企业按招用人数和签订的劳动合同时间核算企业减免税总额，在核算减免税总额内每月依次扣减增值税、城市维护建设税、教育费附加和地方教育附加。企业实际应缴纳的增值税、城市维护建设税、教育费附加和地方教育附加小于核算减免税总额的，以实际应缴纳的增值税、城市维护建设税、教育费附加和地方教育附加为限；实际应缴纳的增值税、城市维护建设税、教育费附加和地方教育附加大于核算 减免税总额的，以核算减免税总额为限。</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xml:space="preserve">纳税年度终了，如果企业实际减免的增值税、城市维护建设税、教育费附加和地方教育附加小于核算减免税总额，企业在企业所得税汇算清缴时以差额部分扣减企业所得税。当年扣减不完的，不再结转以后年度扣减。 </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自主就业退役士兵在企业工作不满1年的，应当按月换算减免税限额。计算公式为：企业核算减免税总额=Σ每名自主就业退役士兵本年度在本单位工作月份÷12×具体定额标准”</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6.城市维护建设税、教育费附加、地方教育附加的计税依据是享受本政策前的增值税应纳税额。</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bookmarkStart w:id="476" w:name="_Toc99528514"/>
      <w:bookmarkStart w:id="477" w:name="_Toc99403185"/>
      <w:bookmarkStart w:id="478" w:name="_Toc99443541"/>
      <w:bookmarkStart w:id="479" w:name="_Toc99525466"/>
      <w:bookmarkStart w:id="480" w:name="_Toc99525933"/>
      <w:bookmarkStart w:id="481" w:name="_Toc99467086"/>
      <w:bookmarkStart w:id="482" w:name="_Toc99379000"/>
      <w:bookmarkStart w:id="483" w:name="_Toc99527796"/>
      <w:bookmarkStart w:id="484" w:name="_Toc99405798"/>
      <w:r>
        <w:rPr>
          <w:rFonts w:hint="eastAsia" w:asciiTheme="minorEastAsia" w:hAnsiTheme="minorEastAsia" w:eastAsiaTheme="minorEastAsia" w:cstheme="minorEastAsia"/>
          <w:b/>
          <w:color w:val="000000"/>
          <w:sz w:val="28"/>
          <w:szCs w:val="28"/>
        </w:rPr>
        <w:t>【政策依据】</w:t>
      </w:r>
      <w:bookmarkEnd w:id="476"/>
      <w:bookmarkEnd w:id="477"/>
      <w:bookmarkEnd w:id="478"/>
      <w:bookmarkEnd w:id="479"/>
      <w:bookmarkEnd w:id="480"/>
      <w:bookmarkEnd w:id="481"/>
      <w:bookmarkEnd w:id="482"/>
      <w:bookmarkEnd w:id="483"/>
      <w:bookmarkEnd w:id="484"/>
      <w:r>
        <w:rPr>
          <w:rFonts w:hint="eastAsia" w:asciiTheme="minorEastAsia" w:hAnsiTheme="minorEastAsia" w:eastAsiaTheme="minorEastAsia" w:cstheme="minorEastAsia"/>
          <w:b/>
          <w:color w:val="000000"/>
          <w:sz w:val="28"/>
          <w:szCs w:val="28"/>
        </w:rPr>
        <w:t xml:space="preserve"> </w:t>
      </w:r>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0" w:firstLineChars="200"/>
        <w:jc w:val="both"/>
        <w:textAlignment w:val="auto"/>
        <w:outlineLvl w:val="2"/>
        <w:rPr>
          <w:rFonts w:hint="eastAsia" w:asciiTheme="minorEastAsia" w:hAnsiTheme="minorEastAsia" w:eastAsiaTheme="minorEastAsia" w:cstheme="minorEastAsia"/>
          <w:color w:val="000000"/>
          <w:sz w:val="28"/>
          <w:szCs w:val="28"/>
        </w:rPr>
      </w:pPr>
      <w:bookmarkStart w:id="485" w:name="_Toc5943"/>
      <w:r>
        <w:rPr>
          <w:rFonts w:hint="eastAsia" w:asciiTheme="minorEastAsia" w:hAnsiTheme="minorEastAsia" w:eastAsiaTheme="minorEastAsia" w:cstheme="minorEastAsia"/>
          <w:color w:val="000000"/>
          <w:sz w:val="28"/>
          <w:szCs w:val="28"/>
        </w:rPr>
        <w:t>1.《财政部 税务总局关于延长部分税收优惠政策执行期限的公告》（2022年第4号）</w:t>
      </w:r>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0" w:firstLineChars="200"/>
        <w:jc w:val="both"/>
        <w:textAlignment w:val="auto"/>
        <w:outlineLvl w:val="2"/>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2.《财政部 税务总局 退役军人部关于进一步扶持自主就业退役士兵创业就业有关税收政策的通知》（财税〔2019〕21号）</w:t>
      </w:r>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0" w:firstLineChars="200"/>
        <w:jc w:val="both"/>
        <w:textAlignment w:val="auto"/>
        <w:outlineLvl w:val="2"/>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3.《云南省财政厅 国家税务总局云南省税务局 云南省退役军人事务厅关于延长进一步扶持自主就业退役士兵创业就业有关税收政策执行期限的公告》</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eastAsia="zh-CN"/>
        </w:rPr>
        <w:t>云</w:t>
      </w:r>
      <w:r>
        <w:rPr>
          <w:rFonts w:hint="eastAsia" w:asciiTheme="minorEastAsia" w:hAnsiTheme="minorEastAsia" w:eastAsiaTheme="minorEastAsia" w:cstheme="minorEastAsia"/>
          <w:color w:val="auto"/>
          <w:sz w:val="28"/>
          <w:szCs w:val="28"/>
        </w:rPr>
        <w:t>财税〔2019〕21号）</w:t>
      </w:r>
      <w:bookmarkStart w:id="486" w:name="page14"/>
      <w:bookmarkEnd w:id="486"/>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0" w:firstLineChars="200"/>
        <w:jc w:val="both"/>
        <w:textAlignment w:val="auto"/>
        <w:outlineLvl w:val="2"/>
        <w:rPr>
          <w:rFonts w:hint="eastAsia" w:asciiTheme="minorEastAsia" w:hAnsiTheme="minorEastAsia" w:eastAsiaTheme="minorEastAsia" w:cstheme="minorEastAsia"/>
          <w:color w:val="auto"/>
          <w:sz w:val="28"/>
          <w:szCs w:val="28"/>
          <w:lang w:val="en-US" w:eastAsia="zh-CN"/>
        </w:rPr>
      </w:pPr>
      <w:bookmarkStart w:id="487" w:name="_Toc18266"/>
      <w:bookmarkStart w:id="488" w:name="_Toc1685497077"/>
      <w:bookmarkStart w:id="489" w:name="_Toc1396370923"/>
      <w:bookmarkStart w:id="490" w:name="_Toc1571779547"/>
      <w:bookmarkStart w:id="491" w:name="_Toc1478133891"/>
      <w:r>
        <w:rPr>
          <w:rFonts w:hint="eastAsia" w:asciiTheme="minorEastAsia" w:hAnsiTheme="minorEastAsia" w:eastAsiaTheme="minorEastAsia" w:cstheme="minorEastAsia"/>
          <w:color w:val="auto"/>
          <w:sz w:val="28"/>
          <w:szCs w:val="28"/>
          <w:lang w:val="en-US" w:eastAsia="zh-CN"/>
        </w:rPr>
        <w:t>4.《云南省财政厅 国家税务总局云南省税务局 云南省退役军人事务厅关于延长进一步扶持自主就业退役士兵创业就业有关税收政策执行期限的公告》（2022年第3号）</w:t>
      </w:r>
    </w:p>
    <w:p>
      <w:pPr>
        <w:pStyle w:val="4"/>
        <w:keepNext w:val="0"/>
        <w:keepLines w:val="0"/>
        <w:pageBreakBefore w:val="0"/>
        <w:widowControl w:val="0"/>
        <w:numPr>
          <w:ilvl w:val="0"/>
          <w:numId w:val="0"/>
        </w:numPr>
        <w:tabs>
          <w:tab w:val="left" w:pos="484"/>
        </w:tabs>
        <w:kinsoku/>
        <w:wordWrap/>
        <w:overflowPunct/>
        <w:topLinePunct w:val="0"/>
        <w:bidi w:val="0"/>
        <w:adjustRightInd/>
        <w:snapToGrid/>
        <w:spacing w:line="600" w:lineRule="exact"/>
        <w:ind w:leftChars="0"/>
        <w:jc w:val="both"/>
        <w:textAlignment w:val="auto"/>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color w:val="000000"/>
          <w:sz w:val="28"/>
          <w:szCs w:val="28"/>
          <w:lang w:val="en-US" w:eastAsia="zh-CN"/>
        </w:rPr>
        <w:t xml:space="preserve">   </w:t>
      </w:r>
      <w:bookmarkStart w:id="492" w:name="_Toc23773"/>
      <w:r>
        <w:rPr>
          <w:rFonts w:hint="eastAsia" w:asciiTheme="minorEastAsia" w:hAnsiTheme="minorEastAsia" w:eastAsiaTheme="minorEastAsia" w:cstheme="minorEastAsia"/>
          <w:color w:val="000000"/>
          <w:sz w:val="28"/>
          <w:szCs w:val="28"/>
          <w:lang w:val="en-US" w:eastAsia="zh-CN"/>
        </w:rPr>
        <w:t>（十九）</w:t>
      </w:r>
      <w:r>
        <w:rPr>
          <w:rFonts w:hint="eastAsia" w:asciiTheme="minorEastAsia" w:hAnsiTheme="minorEastAsia" w:eastAsiaTheme="minorEastAsia" w:cstheme="minorEastAsia"/>
          <w:color w:val="000000"/>
          <w:sz w:val="28"/>
          <w:szCs w:val="28"/>
          <w:lang w:val="en-US"/>
        </w:rPr>
        <w:t>科技企业孵化器</w:t>
      </w:r>
      <w:r>
        <w:rPr>
          <w:rFonts w:hint="eastAsia" w:asciiTheme="minorEastAsia" w:hAnsiTheme="minorEastAsia" w:eastAsiaTheme="minorEastAsia" w:cstheme="minorEastAsia"/>
          <w:color w:val="000000"/>
          <w:sz w:val="28"/>
          <w:szCs w:val="28"/>
          <w:lang w:val="en-US" w:eastAsia="zh-CN"/>
        </w:rPr>
        <w:t>等</w:t>
      </w:r>
      <w:r>
        <w:rPr>
          <w:rFonts w:hint="eastAsia" w:asciiTheme="minorEastAsia" w:hAnsiTheme="minorEastAsia" w:eastAsiaTheme="minorEastAsia" w:cstheme="minorEastAsia"/>
          <w:color w:val="000000"/>
          <w:sz w:val="28"/>
          <w:szCs w:val="28"/>
          <w:lang w:val="en-US"/>
        </w:rPr>
        <w:t>免征</w:t>
      </w:r>
      <w:r>
        <w:rPr>
          <w:rFonts w:hint="eastAsia" w:asciiTheme="minorEastAsia" w:hAnsiTheme="minorEastAsia" w:eastAsiaTheme="minorEastAsia" w:cstheme="minorEastAsia"/>
          <w:color w:val="000000"/>
          <w:sz w:val="28"/>
          <w:szCs w:val="28"/>
          <w:lang w:val="en-US" w:eastAsia="zh-CN"/>
        </w:rPr>
        <w:t>房产税、城镇土地使用税和</w:t>
      </w:r>
      <w:r>
        <w:rPr>
          <w:rFonts w:hint="eastAsia" w:asciiTheme="minorEastAsia" w:hAnsiTheme="minorEastAsia" w:eastAsiaTheme="minorEastAsia" w:cstheme="minorEastAsia"/>
          <w:color w:val="000000"/>
          <w:sz w:val="28"/>
          <w:szCs w:val="28"/>
          <w:lang w:val="en-US"/>
        </w:rPr>
        <w:t>增值税</w:t>
      </w:r>
      <w:r>
        <w:rPr>
          <w:rFonts w:hint="eastAsia" w:asciiTheme="minorEastAsia" w:hAnsiTheme="minorEastAsia" w:eastAsiaTheme="minorEastAsia" w:cstheme="minorEastAsia"/>
          <w:color w:val="000000"/>
          <w:sz w:val="28"/>
          <w:szCs w:val="28"/>
          <w:lang w:val="en-US" w:eastAsia="zh-CN"/>
        </w:rPr>
        <w:t>政策</w:t>
      </w:r>
      <w:bookmarkEnd w:id="487"/>
      <w:bookmarkEnd w:id="488"/>
      <w:bookmarkEnd w:id="489"/>
      <w:bookmarkEnd w:id="490"/>
      <w:bookmarkEnd w:id="491"/>
      <w:bookmarkEnd w:id="492"/>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shd w:val="clear" w:color="auto" w:fill="FFFFFF"/>
        </w:rPr>
      </w:pPr>
      <w:r>
        <w:rPr>
          <w:rFonts w:hint="eastAsia" w:asciiTheme="minorEastAsia" w:hAnsiTheme="minorEastAsia" w:eastAsiaTheme="minorEastAsia" w:cstheme="minorEastAsia"/>
          <w:b/>
          <w:color w:val="000000"/>
          <w:sz w:val="28"/>
          <w:szCs w:val="28"/>
        </w:rPr>
        <w:t>【享受主体】</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shd w:val="clear" w:color="auto" w:fill="FFFFFF"/>
        </w:rPr>
      </w:pPr>
      <w:r>
        <w:rPr>
          <w:rFonts w:hint="eastAsia" w:asciiTheme="minorEastAsia" w:hAnsiTheme="minorEastAsia" w:eastAsiaTheme="minorEastAsia" w:cstheme="minorEastAsia"/>
          <w:color w:val="000000"/>
          <w:sz w:val="28"/>
          <w:szCs w:val="28"/>
          <w:lang w:val="en-US"/>
        </w:rPr>
        <w:t>国家级、省级科技企业孵化器、大学科技园和国家备案众创空间</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【优惠内容】</w:t>
      </w:r>
    </w:p>
    <w:p>
      <w:pPr>
        <w:pStyle w:val="8"/>
        <w:keepNext w:val="0"/>
        <w:keepLines w:val="0"/>
        <w:pageBreakBefore w:val="0"/>
        <w:widowControl w:val="0"/>
        <w:numPr>
          <w:ilvl w:val="0"/>
          <w:numId w:val="0"/>
        </w:numPr>
        <w:kinsoku/>
        <w:wordWrap/>
        <w:overflowPunct/>
        <w:topLinePunct w:val="0"/>
        <w:bidi w:val="0"/>
        <w:adjustRightInd/>
        <w:snapToGrid/>
        <w:spacing w:line="600" w:lineRule="exact"/>
        <w:ind w:left="0" w:leftChars="0"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lang w:val="en-US"/>
        </w:rPr>
        <w:t>自2019年1月1日至2023年12月31日，对国家级、省级科技企业孵化器、大学科技园和国家备案众创空间自用以及无偿或通过出租等方式提供给在孵对象使用的房产、土地，免征房产税和城镇土地使用税</w:t>
      </w:r>
      <w:r>
        <w:rPr>
          <w:rFonts w:hint="eastAsia" w:asciiTheme="minorEastAsia" w:hAnsiTheme="minorEastAsia" w:eastAsiaTheme="minorEastAsia" w:cstheme="minorEastAsia"/>
          <w:color w:val="000000"/>
          <w:sz w:val="28"/>
          <w:szCs w:val="28"/>
          <w:lang w:val="en-US" w:eastAsia="zh-CN"/>
        </w:rPr>
        <w:t>。</w:t>
      </w:r>
    </w:p>
    <w:p>
      <w:pPr>
        <w:pStyle w:val="8"/>
        <w:keepNext w:val="0"/>
        <w:keepLines w:val="0"/>
        <w:pageBreakBefore w:val="0"/>
        <w:widowControl w:val="0"/>
        <w:numPr>
          <w:ilvl w:val="0"/>
          <w:numId w:val="0"/>
        </w:numPr>
        <w:kinsoku/>
        <w:wordWrap/>
        <w:overflowPunct/>
        <w:topLinePunct w:val="0"/>
        <w:bidi w:val="0"/>
        <w:adjustRightInd/>
        <w:snapToGrid/>
        <w:spacing w:line="600" w:lineRule="exact"/>
        <w:ind w:left="0" w:leftChars="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2.</w:t>
      </w:r>
      <w:r>
        <w:rPr>
          <w:rFonts w:hint="eastAsia" w:asciiTheme="minorEastAsia" w:hAnsiTheme="minorEastAsia" w:eastAsiaTheme="minorEastAsia" w:cstheme="minorEastAsia"/>
          <w:color w:val="000000"/>
          <w:sz w:val="28"/>
          <w:szCs w:val="28"/>
          <w:lang w:val="en-US"/>
        </w:rPr>
        <w:t>自2019年1月1日至2023年12月31日，对国家级、省级科技企业孵化器、大学科技园和国家备案众创空间向在孵对象提供孵化服务取得的收入，免征增值税。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p>
    <w:p>
      <w:pPr>
        <w:pStyle w:val="8"/>
        <w:keepNext w:val="0"/>
        <w:keepLines w:val="0"/>
        <w:pageBreakBefore w:val="0"/>
        <w:widowControl w:val="0"/>
        <w:kinsoku/>
        <w:wordWrap/>
        <w:overflowPunct/>
        <w:topLinePunct w:val="0"/>
        <w:bidi w:val="0"/>
        <w:adjustRightInd/>
        <w:snapToGrid/>
        <w:spacing w:line="600" w:lineRule="exact"/>
        <w:ind w:left="0" w:right="30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1.孵化服务是指为在孵对象提供的经纪代理、经营租赁、研发和技术、信息技术、鉴证咨询服务。</w:t>
      </w:r>
    </w:p>
    <w:p>
      <w:pPr>
        <w:pStyle w:val="8"/>
        <w:keepNext w:val="0"/>
        <w:keepLines w:val="0"/>
        <w:pageBreakBefore w:val="0"/>
        <w:widowControl w:val="0"/>
        <w:kinsoku/>
        <w:wordWrap/>
        <w:overflowPunct/>
        <w:topLinePunct w:val="0"/>
        <w:bidi w:val="0"/>
        <w:adjustRightInd/>
        <w:snapToGrid/>
        <w:spacing w:line="600" w:lineRule="exact"/>
        <w:ind w:left="0" w:right="30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2.国家级、省级科技企业孵化器、大学科技园和国家备案众创空间应当单独核算孵化服务收入。</w:t>
      </w:r>
    </w:p>
    <w:p>
      <w:pPr>
        <w:pStyle w:val="8"/>
        <w:keepNext w:val="0"/>
        <w:keepLines w:val="0"/>
        <w:pageBreakBefore w:val="0"/>
        <w:widowControl w:val="0"/>
        <w:kinsoku/>
        <w:wordWrap/>
        <w:overflowPunct/>
        <w:topLinePunct w:val="0"/>
        <w:bidi w:val="0"/>
        <w:adjustRightInd/>
        <w:snapToGrid/>
        <w:spacing w:line="600" w:lineRule="exact"/>
        <w:ind w:left="0" w:right="301"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3.国家级科技企业孵化器、大学科技园和国家备案众创空间认定和管理办法由国务院科技、教育部门另行发布；省级科技企业孵化器、大学科技园认定和管理办法由</w:t>
      </w:r>
      <w:r>
        <w:rPr>
          <w:rFonts w:hint="eastAsia" w:asciiTheme="minorEastAsia" w:hAnsiTheme="minorEastAsia" w:eastAsiaTheme="minorEastAsia" w:cstheme="minorEastAsia"/>
          <w:color w:val="auto"/>
          <w:sz w:val="28"/>
          <w:szCs w:val="28"/>
          <w:lang w:val="en-US"/>
        </w:rPr>
        <w:t>省级科技、教育部门另行发布。</w:t>
      </w:r>
    </w:p>
    <w:p>
      <w:pPr>
        <w:pStyle w:val="8"/>
        <w:keepNext w:val="0"/>
        <w:keepLines w:val="0"/>
        <w:pageBreakBefore w:val="0"/>
        <w:widowControl w:val="0"/>
        <w:kinsoku/>
        <w:wordWrap/>
        <w:overflowPunct/>
        <w:topLinePunct w:val="0"/>
        <w:bidi w:val="0"/>
        <w:adjustRightInd/>
        <w:snapToGrid/>
        <w:spacing w:line="600" w:lineRule="exact"/>
        <w:ind w:left="0" w:right="301"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4.国家级、省级科技企业孵化器、大学科技园</w:t>
      </w:r>
      <w:r>
        <w:rPr>
          <w:rFonts w:hint="eastAsia" w:asciiTheme="minorEastAsia" w:hAnsiTheme="minorEastAsia" w:eastAsiaTheme="minorEastAsia" w:cstheme="minorEastAsia"/>
          <w:color w:val="auto"/>
          <w:sz w:val="28"/>
          <w:szCs w:val="28"/>
          <w:lang w:val="en-US"/>
        </w:rPr>
        <w:t>和国家备案众创空间</w:t>
      </w:r>
      <w:r>
        <w:rPr>
          <w:rFonts w:hint="eastAsia" w:asciiTheme="minorEastAsia" w:hAnsiTheme="minorEastAsia" w:eastAsiaTheme="minorEastAsia" w:cstheme="minorEastAsia"/>
          <w:color w:val="000000"/>
          <w:sz w:val="28"/>
          <w:szCs w:val="28"/>
          <w:lang w:val="en-US"/>
        </w:rPr>
        <w:t>应按规定申报享受免税政策，并将房产土地权属资料、房产原值资料、房产土地租赁合同、孵化协议等留存备查。</w:t>
      </w:r>
    </w:p>
    <w:p>
      <w:pPr>
        <w:pStyle w:val="8"/>
        <w:keepNext w:val="0"/>
        <w:keepLines w:val="0"/>
        <w:pageBreakBefore w:val="0"/>
        <w:widowControl w:val="0"/>
        <w:kinsoku/>
        <w:wordWrap/>
        <w:overflowPunct/>
        <w:topLinePunct w:val="0"/>
        <w:bidi w:val="0"/>
        <w:adjustRightInd/>
        <w:snapToGrid/>
        <w:spacing w:line="600" w:lineRule="exact"/>
        <w:ind w:left="0" w:right="301" w:firstLine="560" w:firstLineChars="200"/>
        <w:jc w:val="both"/>
        <w:textAlignment w:val="auto"/>
        <w:outlineLvl w:val="2"/>
        <w:rPr>
          <w:rFonts w:hint="eastAsia" w:asciiTheme="minorEastAsia" w:hAnsiTheme="minorEastAsia" w:eastAsiaTheme="minorEastAsia" w:cstheme="minorEastAsia"/>
          <w:color w:val="000000"/>
          <w:spacing w:val="-2"/>
          <w:sz w:val="28"/>
          <w:szCs w:val="28"/>
          <w:lang w:val="en-US"/>
        </w:rPr>
      </w:pPr>
      <w:r>
        <w:rPr>
          <w:rFonts w:hint="eastAsia" w:asciiTheme="minorEastAsia" w:hAnsiTheme="minorEastAsia" w:eastAsiaTheme="minorEastAsia" w:cstheme="minorEastAsia"/>
          <w:color w:val="000000"/>
          <w:sz w:val="28"/>
          <w:szCs w:val="28"/>
          <w:lang w:val="en-US"/>
        </w:rPr>
        <w:t>5.2018年12月31日以前认定的国家级科技企业孵化器、大学科技园，自2019年1月1日起享受</w:t>
      </w:r>
      <w:r>
        <w:rPr>
          <w:rFonts w:hint="eastAsia" w:asciiTheme="minorEastAsia" w:hAnsiTheme="minorEastAsia" w:eastAsiaTheme="minorEastAsia" w:cstheme="minorEastAsia"/>
          <w:color w:val="000000"/>
          <w:sz w:val="28"/>
          <w:szCs w:val="28"/>
          <w:lang w:val="en-US" w:eastAsia="zh-CN"/>
        </w:rPr>
        <w:t>本政策</w:t>
      </w:r>
      <w:r>
        <w:rPr>
          <w:rFonts w:hint="eastAsia" w:asciiTheme="minorEastAsia" w:hAnsiTheme="minorEastAsia" w:eastAsiaTheme="minorEastAsia" w:cstheme="minorEastAsia"/>
          <w:color w:val="000000"/>
          <w:sz w:val="28"/>
          <w:szCs w:val="28"/>
          <w:lang w:val="en-US"/>
        </w:rPr>
        <w:t>规定的税收优惠。2019年1月1日以后认定的国家级、省级科技企业孵化器、大学科技园和国家备案众创空间，自认定之日次月起享受</w:t>
      </w:r>
      <w:r>
        <w:rPr>
          <w:rFonts w:hint="eastAsia" w:asciiTheme="minorEastAsia" w:hAnsiTheme="minorEastAsia" w:eastAsiaTheme="minorEastAsia" w:cstheme="minorEastAsia"/>
          <w:color w:val="000000"/>
          <w:sz w:val="28"/>
          <w:szCs w:val="28"/>
          <w:lang w:val="en-US" w:eastAsia="zh-CN"/>
        </w:rPr>
        <w:t>本政策</w:t>
      </w:r>
      <w:r>
        <w:rPr>
          <w:rFonts w:hint="eastAsia" w:asciiTheme="minorEastAsia" w:hAnsiTheme="minorEastAsia" w:eastAsiaTheme="minorEastAsia" w:cstheme="minorEastAsia"/>
          <w:color w:val="000000"/>
          <w:sz w:val="28"/>
          <w:szCs w:val="28"/>
          <w:lang w:val="en-US"/>
        </w:rPr>
        <w:t>规定的税收优惠。2019年1月1日以后被取消资格的，自取消资格之日次月起停止享受</w:t>
      </w:r>
      <w:r>
        <w:rPr>
          <w:rFonts w:hint="eastAsia" w:asciiTheme="minorEastAsia" w:hAnsiTheme="minorEastAsia" w:eastAsiaTheme="minorEastAsia" w:cstheme="minorEastAsia"/>
          <w:color w:val="000000"/>
          <w:sz w:val="28"/>
          <w:szCs w:val="28"/>
          <w:lang w:val="en-US" w:eastAsia="zh-CN"/>
        </w:rPr>
        <w:t>本政策</w:t>
      </w:r>
      <w:r>
        <w:rPr>
          <w:rFonts w:hint="eastAsia" w:asciiTheme="minorEastAsia" w:hAnsiTheme="minorEastAsia" w:eastAsiaTheme="minorEastAsia" w:cstheme="minorEastAsia"/>
          <w:color w:val="000000"/>
          <w:sz w:val="28"/>
          <w:szCs w:val="28"/>
          <w:lang w:val="en-US"/>
        </w:rPr>
        <w:t>规定的税收优惠。</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1.《财政部 税务总局关于延长部分税收优惠政策执行期限的公告》（2022年第4号）</w:t>
      </w:r>
    </w:p>
    <w:p>
      <w:pPr>
        <w:pStyle w:val="29"/>
        <w:keepNext w:val="0"/>
        <w:keepLines w:val="0"/>
        <w:pageBreakBefore w:val="0"/>
        <w:widowControl w:val="0"/>
        <w:tabs>
          <w:tab w:val="left" w:pos="1483"/>
        </w:tabs>
        <w:kinsoku/>
        <w:wordWrap/>
        <w:overflowPunct/>
        <w:topLinePunct w:val="0"/>
        <w:bidi w:val="0"/>
        <w:adjustRightInd/>
        <w:snapToGrid/>
        <w:spacing w:line="600" w:lineRule="exact"/>
        <w:ind w:left="0" w:right="30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2.《财政部 税务总局 科技部 教育部关于科技企业孵化器 大学科技园和众创空间税收政策的通知》（财税〔2018〕120号）</w:t>
      </w:r>
    </w:p>
    <w:p>
      <w:pPr>
        <w:pStyle w:val="4"/>
        <w:keepNext w:val="0"/>
        <w:keepLines w:val="0"/>
        <w:pageBreakBefore w:val="0"/>
        <w:widowControl w:val="0"/>
        <w:numPr>
          <w:ilvl w:val="0"/>
          <w:numId w:val="0"/>
        </w:numPr>
        <w:tabs>
          <w:tab w:val="left" w:pos="484"/>
        </w:tabs>
        <w:kinsoku/>
        <w:wordWrap/>
        <w:overflowPunct/>
        <w:topLinePunct w:val="0"/>
        <w:bidi w:val="0"/>
        <w:adjustRightInd/>
        <w:snapToGrid/>
        <w:spacing w:line="600" w:lineRule="exact"/>
        <w:ind w:left="0" w:leftChars="0" w:firstLine="562" w:firstLineChars="200"/>
        <w:jc w:val="both"/>
        <w:textAlignment w:val="auto"/>
        <w:rPr>
          <w:rFonts w:hint="eastAsia" w:asciiTheme="minorEastAsia" w:hAnsiTheme="minorEastAsia" w:eastAsiaTheme="minorEastAsia" w:cstheme="minorEastAsia"/>
          <w:b/>
          <w:color w:val="000000"/>
          <w:sz w:val="28"/>
          <w:szCs w:val="28"/>
          <w:lang w:val="en-US"/>
        </w:rPr>
      </w:pPr>
      <w:bookmarkStart w:id="493" w:name="_Toc1769681921"/>
      <w:bookmarkStart w:id="494" w:name="_Toc20592"/>
      <w:bookmarkStart w:id="495" w:name="_Toc1770819027"/>
      <w:bookmarkStart w:id="496" w:name="_Toc783137318"/>
      <w:bookmarkStart w:id="497" w:name="_Toc1877229921"/>
      <w:bookmarkStart w:id="498" w:name="_Toc29249"/>
      <w:r>
        <w:rPr>
          <w:rFonts w:hint="eastAsia" w:asciiTheme="minorEastAsia" w:hAnsiTheme="minorEastAsia" w:eastAsiaTheme="minorEastAsia" w:cstheme="minorEastAsia"/>
          <w:color w:val="000000"/>
          <w:sz w:val="28"/>
          <w:szCs w:val="28"/>
          <w:lang w:val="en-US" w:eastAsia="zh-CN"/>
        </w:rPr>
        <w:t>（二十）</w:t>
      </w:r>
      <w:r>
        <w:rPr>
          <w:rFonts w:hint="eastAsia" w:asciiTheme="minorEastAsia" w:hAnsiTheme="minorEastAsia" w:eastAsiaTheme="minorEastAsia" w:cstheme="minorEastAsia"/>
          <w:color w:val="000000"/>
          <w:sz w:val="28"/>
          <w:szCs w:val="28"/>
          <w:lang w:val="en-US"/>
        </w:rPr>
        <w:t>高校学生公寓免征房产税</w:t>
      </w:r>
      <w:r>
        <w:rPr>
          <w:rFonts w:hint="eastAsia" w:asciiTheme="minorEastAsia" w:hAnsiTheme="minorEastAsia" w:eastAsiaTheme="minorEastAsia" w:cstheme="minorEastAsia"/>
          <w:color w:val="000000"/>
          <w:sz w:val="28"/>
          <w:szCs w:val="28"/>
          <w:lang w:val="en-US" w:eastAsia="zh-CN"/>
        </w:rPr>
        <w:t>、</w:t>
      </w:r>
      <w:r>
        <w:rPr>
          <w:rFonts w:hint="eastAsia" w:asciiTheme="minorEastAsia" w:hAnsiTheme="minorEastAsia" w:eastAsiaTheme="minorEastAsia" w:cstheme="minorEastAsia"/>
          <w:color w:val="000000"/>
          <w:sz w:val="28"/>
          <w:szCs w:val="28"/>
          <w:lang w:val="en-US"/>
        </w:rPr>
        <w:t>印花税</w:t>
      </w:r>
      <w:r>
        <w:rPr>
          <w:rFonts w:hint="eastAsia" w:asciiTheme="minorEastAsia" w:hAnsiTheme="minorEastAsia" w:eastAsiaTheme="minorEastAsia" w:cstheme="minorEastAsia"/>
          <w:color w:val="000000"/>
          <w:sz w:val="28"/>
          <w:szCs w:val="28"/>
          <w:lang w:val="en-US" w:eastAsia="zh-CN"/>
        </w:rPr>
        <w:t>政策</w:t>
      </w:r>
      <w:bookmarkEnd w:id="493"/>
      <w:bookmarkEnd w:id="494"/>
      <w:bookmarkEnd w:id="495"/>
      <w:bookmarkEnd w:id="496"/>
      <w:bookmarkEnd w:id="497"/>
      <w:bookmarkEnd w:id="498"/>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pacing w:val="-2"/>
          <w:sz w:val="28"/>
          <w:szCs w:val="28"/>
          <w:lang w:val="en-US"/>
        </w:rPr>
      </w:pPr>
      <w:r>
        <w:rPr>
          <w:rFonts w:hint="eastAsia" w:asciiTheme="minorEastAsia" w:hAnsiTheme="minorEastAsia" w:eastAsiaTheme="minorEastAsia" w:cstheme="minorEastAsia"/>
          <w:color w:val="000000"/>
          <w:sz w:val="28"/>
          <w:szCs w:val="28"/>
          <w:lang w:val="en-US" w:eastAsia="zh-CN"/>
        </w:rPr>
        <w:t>运营高校学生公寓的纳税人</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【优惠内容】</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lang w:val="en-US"/>
        </w:rPr>
        <w:t>自2019年1月1日至2023年12月31日，对高校学生公寓免征房产税</w:t>
      </w:r>
      <w:r>
        <w:rPr>
          <w:rFonts w:hint="eastAsia" w:asciiTheme="minorEastAsia" w:hAnsiTheme="minorEastAsia" w:eastAsiaTheme="minorEastAsia" w:cstheme="minorEastAsia"/>
          <w:color w:val="000000"/>
          <w:sz w:val="28"/>
          <w:szCs w:val="28"/>
          <w:lang w:val="en-US" w:eastAsia="zh-CN"/>
        </w:rPr>
        <w:t>。</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b/>
          <w:bCs/>
          <w:color w:val="92D050"/>
          <w:sz w:val="28"/>
          <w:szCs w:val="28"/>
          <w:lang w:val="en-US"/>
        </w:rPr>
      </w:pPr>
      <w:r>
        <w:rPr>
          <w:rFonts w:hint="eastAsia" w:asciiTheme="minorEastAsia" w:hAnsiTheme="minorEastAsia" w:eastAsiaTheme="minorEastAsia" w:cstheme="minorEastAsia"/>
          <w:color w:val="000000"/>
          <w:sz w:val="28"/>
          <w:szCs w:val="28"/>
          <w:lang w:val="en-US" w:eastAsia="zh-CN"/>
        </w:rPr>
        <w:t>2.</w:t>
      </w:r>
      <w:r>
        <w:rPr>
          <w:rFonts w:hint="eastAsia" w:asciiTheme="minorEastAsia" w:hAnsiTheme="minorEastAsia" w:eastAsiaTheme="minorEastAsia" w:cstheme="minorEastAsia"/>
          <w:color w:val="000000"/>
          <w:sz w:val="28"/>
          <w:szCs w:val="28"/>
          <w:lang w:val="en-US"/>
        </w:rPr>
        <w:t>自2019年1月1日至2023年12月31日，对与高校学生签订的高校学生公寓租赁合同，免征印花税。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color w:val="000000"/>
          <w:sz w:val="28"/>
          <w:szCs w:val="28"/>
        </w:rPr>
        <w:t>【享受条件】</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1.高校学生公寓，是指为高校学生提供住宿服务，按照国家规定的收费标准收取住宿费的学生公寓。</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2.企业享受</w:t>
      </w:r>
      <w:r>
        <w:rPr>
          <w:rFonts w:hint="eastAsia" w:asciiTheme="minorEastAsia" w:hAnsiTheme="minorEastAsia" w:eastAsiaTheme="minorEastAsia" w:cstheme="minorEastAsia"/>
          <w:color w:val="000000"/>
          <w:sz w:val="28"/>
          <w:szCs w:val="28"/>
          <w:lang w:val="en-US" w:eastAsia="zh-CN"/>
        </w:rPr>
        <w:t>本</w:t>
      </w:r>
      <w:r>
        <w:rPr>
          <w:rFonts w:hint="eastAsia" w:asciiTheme="minorEastAsia" w:hAnsiTheme="minorEastAsia" w:eastAsiaTheme="minorEastAsia" w:cstheme="minorEastAsia"/>
          <w:color w:val="000000"/>
          <w:sz w:val="28"/>
          <w:szCs w:val="28"/>
          <w:lang w:val="en-US"/>
        </w:rPr>
        <w:t>政策，应按规定进行免税申报，并将不动产权属证明、载有房产原值的相关材料、房产用途证明、租赁合同等资料留存备查。</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rPr>
        <w:t>1.《财政部 税务总局关于延长部分税收优惠政策执行期限的公告》（2022年第4号）</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2.《财政部 税务总局关于高校学生公寓房产税 印花税政策的通知》（财税〔2019〕14号）</w:t>
      </w:r>
    </w:p>
    <w:p>
      <w:pPr>
        <w:pStyle w:val="8"/>
        <w:ind w:left="0" w:firstLine="562" w:firstLineChars="200"/>
        <w:outlineLvl w:val="1"/>
        <w:rPr>
          <w:rFonts w:hint="eastAsia" w:asciiTheme="minorEastAsia" w:hAnsiTheme="minorEastAsia" w:eastAsiaTheme="minorEastAsia" w:cstheme="minorEastAsia"/>
          <w:color w:val="000000"/>
          <w:sz w:val="28"/>
          <w:szCs w:val="28"/>
          <w:lang w:val="en-US"/>
        </w:rPr>
      </w:pPr>
      <w:bookmarkStart w:id="499" w:name="_Toc361507740"/>
      <w:bookmarkStart w:id="500" w:name="_Toc10751"/>
      <w:bookmarkStart w:id="501" w:name="_Toc2050724151"/>
      <w:bookmarkStart w:id="502" w:name="_Toc21468"/>
      <w:r>
        <w:rPr>
          <w:rFonts w:hint="eastAsia" w:asciiTheme="minorEastAsia" w:hAnsiTheme="minorEastAsia" w:eastAsiaTheme="minorEastAsia" w:cstheme="minorEastAsia"/>
          <w:b/>
          <w:bCs/>
          <w:color w:val="000000"/>
          <w:sz w:val="28"/>
          <w:szCs w:val="28"/>
          <w:lang w:val="en-US" w:eastAsia="zh-CN"/>
        </w:rPr>
        <w:t>（二十一）</w:t>
      </w:r>
      <w:r>
        <w:rPr>
          <w:rFonts w:hint="eastAsia" w:asciiTheme="minorEastAsia" w:hAnsiTheme="minorEastAsia" w:eastAsiaTheme="minorEastAsia" w:cstheme="minorEastAsia"/>
          <w:b/>
          <w:bCs/>
          <w:color w:val="000000"/>
          <w:sz w:val="28"/>
          <w:szCs w:val="28"/>
          <w:lang w:val="en-US"/>
        </w:rPr>
        <w:t>城市公交站场等运营用地免征城镇土地使用税</w:t>
      </w:r>
      <w:r>
        <w:rPr>
          <w:rFonts w:hint="eastAsia" w:asciiTheme="minorEastAsia" w:hAnsiTheme="minorEastAsia" w:eastAsiaTheme="minorEastAsia" w:cstheme="minorEastAsia"/>
          <w:b/>
          <w:bCs/>
          <w:color w:val="000000"/>
          <w:sz w:val="28"/>
          <w:szCs w:val="28"/>
          <w:lang w:val="en-US" w:eastAsia="zh-CN"/>
        </w:rPr>
        <w:t>政策</w:t>
      </w:r>
      <w:bookmarkEnd w:id="499"/>
      <w:bookmarkEnd w:id="500"/>
      <w:bookmarkEnd w:id="501"/>
      <w:bookmarkEnd w:id="502"/>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rPr>
        <w:t>运营城市公交站场、道路客运站场、城市轨道交通系统</w:t>
      </w:r>
      <w:r>
        <w:rPr>
          <w:rFonts w:hint="eastAsia" w:asciiTheme="minorEastAsia" w:hAnsiTheme="minorEastAsia" w:eastAsiaTheme="minorEastAsia" w:cstheme="minorEastAsia"/>
          <w:color w:val="000000"/>
          <w:sz w:val="28"/>
          <w:szCs w:val="28"/>
          <w:lang w:val="en-US" w:eastAsia="zh-CN"/>
        </w:rPr>
        <w:t>的纳税人</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color w:val="000000"/>
          <w:sz w:val="28"/>
          <w:szCs w:val="28"/>
        </w:rPr>
        <w:t>【优惠内容】</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b/>
          <w:bCs/>
          <w:color w:val="000000"/>
          <w:spacing w:val="-5"/>
          <w:sz w:val="28"/>
          <w:szCs w:val="28"/>
          <w:shd w:val="clear" w:color="auto" w:fill="9BBA3C"/>
          <w:lang w:val="en-US"/>
        </w:rPr>
      </w:pPr>
      <w:r>
        <w:rPr>
          <w:rFonts w:hint="eastAsia" w:asciiTheme="minorEastAsia" w:hAnsiTheme="minorEastAsia" w:eastAsiaTheme="minorEastAsia" w:cstheme="minorEastAsia"/>
          <w:color w:val="000000"/>
          <w:sz w:val="28"/>
          <w:szCs w:val="28"/>
          <w:lang w:val="en-US" w:eastAsia="zh-CN"/>
        </w:rPr>
        <w:t>自2019</w:t>
      </w:r>
      <w:r>
        <w:rPr>
          <w:rFonts w:hint="eastAsia" w:asciiTheme="minorEastAsia" w:hAnsiTheme="minorEastAsia" w:eastAsiaTheme="minorEastAsia" w:cstheme="minorEastAsia"/>
          <w:color w:val="000000"/>
          <w:sz w:val="28"/>
          <w:szCs w:val="28"/>
          <w:lang w:val="en-US"/>
        </w:rPr>
        <w:t>年1月1日至2023年12月31日，对城市公交站场、道路客运站场、城市轨道交通系统运营用地，免征城镇土地使用税。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color w:val="000000"/>
          <w:sz w:val="28"/>
          <w:szCs w:val="28"/>
        </w:rPr>
        <w:t>【享受条件】</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1.城市公交站场运营用地，包括城市公交首末车站、停车场、保养场、站场办公用地、生产辅助用地。</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xml:space="preserve">    道路客运站场运营用地，包括站前广场、停车场、发车位、站务用地、站场办公用地、生产辅助用地。</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xml:space="preserve">    城市轨道交通系统运营用地，包括车站（含出入口、通道、公共配套及附属设施）、运营控制中心、车辆基地（含单独的综合维修中心、车辆段）以及线路用地，不包括购物中心、商铺等商业设施用地。城市公交站场、道路客运站场，是指经县级以上（含县级）人民政府交通运输主管部门等批准建设的，为公众及旅客、运输经营者提供站务服务的场所。</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城市轨道交通系统，是指依规定批准建设的，采用专用轨道导向运行的城市公共客运交通系统，包括地铁系统、轻轨系统、单轨系统、有轨电车、磁浮系统、自动导向轨道系统、市域快速轨道系统，不包括旅游景区等单位内部为特定人群服务的轨道系统。</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shd w:val="clear" w:color="auto" w:fill="FFFFFF"/>
          <w:lang w:val="en-US"/>
        </w:rPr>
      </w:pPr>
      <w:r>
        <w:rPr>
          <w:rFonts w:hint="eastAsia" w:asciiTheme="minorEastAsia" w:hAnsiTheme="minorEastAsia" w:eastAsiaTheme="minorEastAsia" w:cstheme="minorEastAsia"/>
          <w:color w:val="000000"/>
          <w:sz w:val="28"/>
          <w:szCs w:val="28"/>
          <w:lang w:val="en-US"/>
        </w:rPr>
        <w:t>3.纳税人享受</w:t>
      </w:r>
      <w:r>
        <w:rPr>
          <w:rFonts w:hint="eastAsia" w:asciiTheme="minorEastAsia" w:hAnsiTheme="minorEastAsia" w:eastAsiaTheme="minorEastAsia" w:cstheme="minorEastAsia"/>
          <w:color w:val="000000"/>
          <w:sz w:val="28"/>
          <w:szCs w:val="28"/>
          <w:lang w:val="en-US" w:eastAsia="zh-CN"/>
        </w:rPr>
        <w:t>本</w:t>
      </w:r>
      <w:r>
        <w:rPr>
          <w:rFonts w:hint="eastAsia" w:asciiTheme="minorEastAsia" w:hAnsiTheme="minorEastAsia" w:eastAsiaTheme="minorEastAsia" w:cstheme="minorEastAsia"/>
          <w:color w:val="000000"/>
          <w:sz w:val="28"/>
          <w:szCs w:val="28"/>
          <w:lang w:val="en-US"/>
        </w:rPr>
        <w:t>政策，应按规定进行免税申报，并将不动产权属证明、土地用途证明等资料留存备查。</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right="295"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1.《财政部 税务总局关于延长部分税收优惠政策执行期限的公告》（2022年第4号）</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right="295"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2.《财政部 税务总局关于继续对城市公交站场 道路客运站场 城市轨道交通系统减免城镇土地使用税优惠政策的通知》（财税〔2019〕11号）</w:t>
      </w:r>
    </w:p>
    <w:p>
      <w:pPr>
        <w:pStyle w:val="4"/>
        <w:keepNext w:val="0"/>
        <w:keepLines w:val="0"/>
        <w:pageBreakBefore w:val="0"/>
        <w:widowControl w:val="0"/>
        <w:numPr>
          <w:ilvl w:val="0"/>
          <w:numId w:val="0"/>
        </w:numPr>
        <w:tabs>
          <w:tab w:val="left" w:pos="484"/>
        </w:tabs>
        <w:kinsoku/>
        <w:wordWrap/>
        <w:overflowPunct/>
        <w:topLinePunct w:val="0"/>
        <w:bidi w:val="0"/>
        <w:adjustRightInd/>
        <w:snapToGrid/>
        <w:spacing w:line="600" w:lineRule="exact"/>
        <w:ind w:leftChars="0"/>
        <w:jc w:val="both"/>
        <w:textAlignment w:val="auto"/>
        <w:rPr>
          <w:rFonts w:hint="eastAsia" w:asciiTheme="minorEastAsia" w:hAnsiTheme="minorEastAsia" w:eastAsiaTheme="minorEastAsia" w:cstheme="minorEastAsia"/>
          <w:b/>
          <w:color w:val="000000"/>
          <w:sz w:val="28"/>
          <w:szCs w:val="28"/>
        </w:rPr>
      </w:pPr>
      <w:bookmarkStart w:id="503" w:name="_Toc103436456"/>
      <w:bookmarkStart w:id="504" w:name="_Toc1134489922"/>
      <w:bookmarkStart w:id="505" w:name="_Toc473985927"/>
      <w:bookmarkStart w:id="506" w:name="_Toc337125624"/>
      <w:bookmarkStart w:id="507" w:name="_Toc27151"/>
      <w:r>
        <w:rPr>
          <w:rFonts w:hint="eastAsia" w:asciiTheme="minorEastAsia" w:hAnsiTheme="minorEastAsia" w:eastAsiaTheme="minorEastAsia" w:cstheme="minorEastAsia"/>
          <w:color w:val="000000"/>
          <w:sz w:val="28"/>
          <w:szCs w:val="28"/>
          <w:lang w:val="en-US" w:eastAsia="zh-CN"/>
        </w:rPr>
        <w:t xml:space="preserve">    </w:t>
      </w:r>
      <w:bookmarkStart w:id="508" w:name="_Toc7010"/>
      <w:r>
        <w:rPr>
          <w:rFonts w:hint="eastAsia" w:asciiTheme="minorEastAsia" w:hAnsiTheme="minorEastAsia" w:eastAsiaTheme="minorEastAsia" w:cstheme="minorEastAsia"/>
          <w:color w:val="000000"/>
          <w:sz w:val="28"/>
          <w:szCs w:val="28"/>
          <w:lang w:val="en-US" w:eastAsia="zh-CN"/>
        </w:rPr>
        <w:t>（二十二）</w:t>
      </w:r>
      <w:r>
        <w:rPr>
          <w:rFonts w:hint="eastAsia" w:asciiTheme="minorEastAsia" w:hAnsiTheme="minorEastAsia" w:eastAsiaTheme="minorEastAsia" w:cstheme="minorEastAsia"/>
          <w:color w:val="000000"/>
          <w:sz w:val="28"/>
          <w:szCs w:val="28"/>
          <w:lang w:val="en-US"/>
        </w:rPr>
        <w:t>农产品批发市场、农贸市场免征</w:t>
      </w:r>
      <w:r>
        <w:rPr>
          <w:rFonts w:hint="eastAsia" w:asciiTheme="minorEastAsia" w:hAnsiTheme="minorEastAsia" w:eastAsiaTheme="minorEastAsia" w:cstheme="minorEastAsia"/>
          <w:color w:val="000000"/>
          <w:sz w:val="28"/>
          <w:szCs w:val="28"/>
          <w:lang w:val="en-US" w:eastAsia="zh-CN"/>
        </w:rPr>
        <w:t>房产税、城镇土地使用税</w:t>
      </w:r>
      <w:bookmarkEnd w:id="503"/>
      <w:bookmarkEnd w:id="504"/>
      <w:bookmarkEnd w:id="505"/>
      <w:bookmarkEnd w:id="506"/>
      <w:bookmarkEnd w:id="508"/>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color w:val="000000"/>
          <w:sz w:val="28"/>
          <w:szCs w:val="28"/>
        </w:rPr>
        <w:t>农产品批发市场、农贸市场</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【优惠内容】</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shd w:val="clear" w:color="auto" w:fill="FFFFFF"/>
          <w:lang w:val="en-US"/>
        </w:rPr>
      </w:pPr>
      <w:r>
        <w:rPr>
          <w:rFonts w:hint="eastAsia" w:asciiTheme="minorEastAsia" w:hAnsiTheme="minorEastAsia" w:eastAsiaTheme="minorEastAsia" w:cstheme="minorEastAsia"/>
          <w:color w:val="000000"/>
          <w:sz w:val="28"/>
          <w:szCs w:val="28"/>
        </w:rPr>
        <w:t>自2019年1月1日至2023年12月31日，对农产品批发市场、农贸市场（包括自有和承租，下同）专门用于经营农产品的房产、土地，暂免征收房产税和城镇土地使用税。对同时经营其他产品的农产品批发市场和农贸市场使用的房产、土地，按其他产品与农产品交易场地面积的比例确定征免房产税和城镇土地使用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1.农产品批发市场和农贸市场，是指经工商登记注册，供买卖双方进行农产品及其初加工品现货批发或零售交易的场所。农产品包括粮油、肉禽蛋、蔬菜、干鲜果品、水产品、</w:t>
      </w:r>
      <w:r>
        <w:rPr>
          <w:rFonts w:hint="eastAsia" w:asciiTheme="minorEastAsia" w:hAnsiTheme="minorEastAsia" w:eastAsiaTheme="minorEastAsia" w:cstheme="minorEastAsia"/>
          <w:color w:val="auto"/>
          <w:sz w:val="28"/>
          <w:szCs w:val="28"/>
        </w:rPr>
        <w:t>调味品、棉麻、活畜、可食用的林产品以及由省、自治区、直辖市财税部门确定的其他可食用的农产品。</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2.享受</w:t>
      </w:r>
      <w:r>
        <w:rPr>
          <w:rFonts w:hint="eastAsia" w:asciiTheme="minorEastAsia" w:hAnsiTheme="minorEastAsia" w:eastAsiaTheme="minorEastAsia" w:cstheme="minorEastAsia"/>
          <w:color w:val="000000"/>
          <w:sz w:val="28"/>
          <w:szCs w:val="28"/>
          <w:lang w:eastAsia="zh-CN"/>
        </w:rPr>
        <w:t>本政策</w:t>
      </w:r>
      <w:r>
        <w:rPr>
          <w:rFonts w:hint="eastAsia" w:asciiTheme="minorEastAsia" w:hAnsiTheme="minorEastAsia" w:eastAsiaTheme="minorEastAsia" w:cstheme="minorEastAsia"/>
          <w:color w:val="000000"/>
          <w:sz w:val="28"/>
          <w:szCs w:val="28"/>
        </w:rPr>
        <w:t>的房产、土地，是指农产品批发市场、农贸市场直接为农产品交易提供服务的房产、土地。农产品批发市场、农贸市场的行政办公区、生活区，以及商业餐饮娱乐等非直接为农产品交易提供服务的房产、土地，不属于规定的优惠范围，应按规定征收房产税和城镇土地使用税。</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shd w:val="clear" w:color="auto" w:fill="FFFFFF"/>
          <w:lang w:val="en-US"/>
        </w:rPr>
      </w:pPr>
      <w:r>
        <w:rPr>
          <w:rFonts w:hint="eastAsia" w:asciiTheme="minorEastAsia" w:hAnsiTheme="minorEastAsia" w:eastAsiaTheme="minorEastAsia" w:cstheme="minorEastAsia"/>
          <w:color w:val="000000"/>
          <w:sz w:val="28"/>
          <w:szCs w:val="28"/>
        </w:rPr>
        <w:t>3.企业享受</w:t>
      </w:r>
      <w:r>
        <w:rPr>
          <w:rFonts w:hint="eastAsia" w:asciiTheme="minorEastAsia" w:hAnsiTheme="minorEastAsia" w:eastAsiaTheme="minorEastAsia" w:cstheme="minorEastAsia"/>
          <w:color w:val="000000"/>
          <w:sz w:val="28"/>
          <w:szCs w:val="28"/>
          <w:lang w:eastAsia="zh-CN"/>
        </w:rPr>
        <w:t>本</w:t>
      </w:r>
      <w:r>
        <w:rPr>
          <w:rFonts w:hint="eastAsia" w:asciiTheme="minorEastAsia" w:hAnsiTheme="minorEastAsia" w:eastAsiaTheme="minorEastAsia" w:cstheme="minorEastAsia"/>
          <w:color w:val="000000"/>
          <w:sz w:val="28"/>
          <w:szCs w:val="28"/>
        </w:rPr>
        <w:t>政策，应按规定进行免税申报，并将不动产权属证明、载有房产原值的相关材料、租赁协议、房产土地用途证明等资料留存备查。</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right="295"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1.《财政部 税务总局关于延长部分税收优惠政策执行期限的公告》（2022年第4号）</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right="295"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2.《财政部 税务总局关于继续实行农产品批发市场 农贸市场房产税 城镇土地使用税优惠政策的通知》（财税〔2019〕12号）</w:t>
      </w:r>
    </w:p>
    <w:p>
      <w:pPr>
        <w:pStyle w:val="29"/>
        <w:tabs>
          <w:tab w:val="left" w:pos="1485"/>
        </w:tabs>
        <w:ind w:left="0" w:right="295" w:firstLine="562" w:firstLineChars="200"/>
        <w:outlineLvl w:val="1"/>
        <w:rPr>
          <w:rFonts w:hint="eastAsia" w:asciiTheme="minorEastAsia" w:hAnsiTheme="minorEastAsia" w:eastAsiaTheme="minorEastAsia" w:cstheme="minorEastAsia"/>
          <w:b/>
          <w:bCs/>
          <w:color w:val="000000"/>
          <w:sz w:val="28"/>
          <w:szCs w:val="28"/>
          <w:lang w:val="en-US"/>
        </w:rPr>
      </w:pPr>
      <w:bookmarkStart w:id="509" w:name="_Toc1431718594"/>
      <w:bookmarkStart w:id="510" w:name="_Toc19135"/>
      <w:bookmarkStart w:id="511" w:name="_Toc1087189594"/>
      <w:r>
        <w:rPr>
          <w:rFonts w:hint="eastAsia" w:asciiTheme="minorEastAsia" w:hAnsiTheme="minorEastAsia" w:eastAsiaTheme="minorEastAsia" w:cstheme="minorEastAsia"/>
          <w:b/>
          <w:bCs/>
          <w:color w:val="000000"/>
          <w:sz w:val="28"/>
          <w:szCs w:val="28"/>
          <w:lang w:val="en-US" w:eastAsia="zh-CN"/>
        </w:rPr>
        <w:t>（二十三）</w:t>
      </w:r>
      <w:r>
        <w:rPr>
          <w:rFonts w:hint="eastAsia" w:asciiTheme="minorEastAsia" w:hAnsiTheme="minorEastAsia" w:eastAsiaTheme="minorEastAsia" w:cstheme="minorEastAsia"/>
          <w:b/>
          <w:bCs/>
          <w:color w:val="000000"/>
          <w:sz w:val="28"/>
          <w:szCs w:val="28"/>
          <w:lang w:val="en-US"/>
        </w:rPr>
        <w:t>从事污染防治的第三方企业减</w:t>
      </w:r>
      <w:r>
        <w:rPr>
          <w:rFonts w:hint="eastAsia" w:asciiTheme="minorEastAsia" w:hAnsiTheme="minorEastAsia" w:eastAsiaTheme="minorEastAsia" w:cstheme="minorEastAsia"/>
          <w:b/>
          <w:bCs/>
          <w:color w:val="000000"/>
          <w:sz w:val="28"/>
          <w:szCs w:val="28"/>
          <w:lang w:val="en-US" w:eastAsia="zh-CN"/>
        </w:rPr>
        <w:t>免</w:t>
      </w:r>
      <w:r>
        <w:rPr>
          <w:rFonts w:hint="eastAsia" w:asciiTheme="minorEastAsia" w:hAnsiTheme="minorEastAsia" w:eastAsiaTheme="minorEastAsia" w:cstheme="minorEastAsia"/>
          <w:b/>
          <w:bCs/>
          <w:color w:val="000000"/>
          <w:sz w:val="28"/>
          <w:szCs w:val="28"/>
          <w:lang w:val="en-US"/>
        </w:rPr>
        <w:t>企业所得税</w:t>
      </w:r>
      <w:r>
        <w:rPr>
          <w:rFonts w:hint="eastAsia" w:asciiTheme="minorEastAsia" w:hAnsiTheme="minorEastAsia" w:eastAsiaTheme="minorEastAsia" w:cstheme="minorEastAsia"/>
          <w:b/>
          <w:bCs/>
          <w:color w:val="000000"/>
          <w:sz w:val="28"/>
          <w:szCs w:val="28"/>
          <w:lang w:val="en-US" w:eastAsia="zh-CN"/>
        </w:rPr>
        <w:t>政策</w:t>
      </w:r>
      <w:bookmarkEnd w:id="509"/>
      <w:bookmarkEnd w:id="510"/>
      <w:bookmarkEnd w:id="511"/>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符合条件的从事污染防治的第三方企业</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color w:val="000000"/>
          <w:sz w:val="28"/>
          <w:szCs w:val="28"/>
        </w:rPr>
        <w:t>【优惠内容】</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000000"/>
          <w:sz w:val="28"/>
          <w:szCs w:val="28"/>
        </w:rPr>
        <w:t>自2019年1月1日至2023年12月31日，对符合条件</w:t>
      </w:r>
      <w:r>
        <w:rPr>
          <w:rFonts w:hint="eastAsia" w:asciiTheme="minorEastAsia" w:hAnsiTheme="minorEastAsia" w:eastAsiaTheme="minorEastAsia" w:cstheme="minorEastAsia"/>
          <w:color w:val="auto"/>
          <w:sz w:val="28"/>
          <w:szCs w:val="28"/>
        </w:rPr>
        <w:t>的从事污染防治的第三方企业(以下称第三方防治企业)减按15%的税率征收企业所得税。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b/>
          <w:color w:val="auto"/>
          <w:sz w:val="28"/>
          <w:szCs w:val="28"/>
        </w:rPr>
        <w:t>【享受条件】</w:t>
      </w:r>
    </w:p>
    <w:p>
      <w:pPr>
        <w:pStyle w:val="8"/>
        <w:keepNext w:val="0"/>
        <w:keepLines w:val="0"/>
        <w:pageBreakBefore w:val="0"/>
        <w:widowControl w:val="0"/>
        <w:numPr>
          <w:ilvl w:val="0"/>
          <w:numId w:val="0"/>
        </w:numPr>
        <w:kinsoku/>
        <w:wordWrap/>
        <w:overflowPunct/>
        <w:topLinePunct w:val="0"/>
        <w:bidi w:val="0"/>
        <w:adjustRightInd/>
        <w:snapToGrid/>
        <w:spacing w:line="600" w:lineRule="exact"/>
        <w:ind w:left="28" w:firstLine="640"/>
        <w:jc w:val="both"/>
        <w:textAlignment w:val="auto"/>
        <w:outlineLvl w:val="2"/>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rPr>
        <w:t>第三方防治企业是指受排污企业或政府委托，负责环境污染治理设施(包括自动连续监测设施</w:t>
      </w:r>
      <w:r>
        <w:rPr>
          <w:rFonts w:hint="eastAsia" w:asciiTheme="minorEastAsia" w:hAnsiTheme="minorEastAsia" w:eastAsiaTheme="minorEastAsia" w:cstheme="minorEastAsia"/>
          <w:color w:val="auto"/>
          <w:sz w:val="28"/>
          <w:szCs w:val="28"/>
          <w:lang w:eastAsia="zh-CN"/>
        </w:rPr>
        <w:t>，下同</w:t>
      </w:r>
      <w:r>
        <w:rPr>
          <w:rFonts w:hint="eastAsia" w:asciiTheme="minorEastAsia" w:hAnsiTheme="minorEastAsia" w:eastAsiaTheme="minorEastAsia" w:cstheme="minorEastAsia"/>
          <w:color w:val="auto"/>
          <w:sz w:val="28"/>
          <w:szCs w:val="28"/>
        </w:rPr>
        <w:t>)运营维护的企业。</w:t>
      </w:r>
    </w:p>
    <w:p>
      <w:pPr>
        <w:pStyle w:val="8"/>
        <w:keepNext w:val="0"/>
        <w:keepLines w:val="0"/>
        <w:pageBreakBefore w:val="0"/>
        <w:widowControl w:val="0"/>
        <w:kinsoku/>
        <w:wordWrap/>
        <w:overflowPunct/>
        <w:topLinePunct w:val="0"/>
        <w:bidi w:val="0"/>
        <w:adjustRightInd/>
        <w:snapToGrid/>
        <w:spacing w:line="600" w:lineRule="exact"/>
        <w:ind w:left="28" w:firstLine="64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rPr>
        <w:t>2.</w:t>
      </w:r>
      <w:r>
        <w:rPr>
          <w:rFonts w:hint="eastAsia" w:asciiTheme="minorEastAsia" w:hAnsiTheme="minorEastAsia" w:eastAsiaTheme="minorEastAsia" w:cstheme="minorEastAsia"/>
          <w:color w:val="000000"/>
          <w:sz w:val="28"/>
          <w:szCs w:val="28"/>
          <w:lang w:val="en-US"/>
        </w:rPr>
        <w:t>第三方防治企业应当同时符合以下条件：</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w:t>
      </w: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lang w:val="en-US"/>
        </w:rPr>
        <w:t>在中国境内(不包括港、澳、台地区)依法注册的居民企业;</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w:t>
      </w:r>
      <w:r>
        <w:rPr>
          <w:rFonts w:hint="eastAsia" w:asciiTheme="minorEastAsia" w:hAnsiTheme="minorEastAsia" w:eastAsiaTheme="minorEastAsia" w:cstheme="minorEastAsia"/>
          <w:color w:val="000000"/>
          <w:sz w:val="28"/>
          <w:szCs w:val="28"/>
          <w:lang w:val="en-US" w:eastAsia="zh-CN"/>
        </w:rPr>
        <w:t>（2）</w:t>
      </w:r>
      <w:r>
        <w:rPr>
          <w:rFonts w:hint="eastAsia" w:asciiTheme="minorEastAsia" w:hAnsiTheme="minorEastAsia" w:eastAsiaTheme="minorEastAsia" w:cstheme="minorEastAsia"/>
          <w:color w:val="000000"/>
          <w:sz w:val="28"/>
          <w:szCs w:val="28"/>
          <w:lang w:val="en-US"/>
        </w:rPr>
        <w:t>具有1年以上连续从事环境污染治理设施运营实践，且能够保证设施正常运行;</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w:t>
      </w:r>
      <w:r>
        <w:rPr>
          <w:rFonts w:hint="eastAsia" w:asciiTheme="minorEastAsia" w:hAnsiTheme="minorEastAsia" w:eastAsiaTheme="minorEastAsia" w:cstheme="minorEastAsia"/>
          <w:color w:val="000000"/>
          <w:sz w:val="28"/>
          <w:szCs w:val="28"/>
          <w:lang w:val="en-US" w:eastAsia="zh-CN"/>
        </w:rPr>
        <w:t>（3）</w:t>
      </w:r>
      <w:r>
        <w:rPr>
          <w:rFonts w:hint="eastAsia" w:asciiTheme="minorEastAsia" w:hAnsiTheme="minorEastAsia" w:eastAsiaTheme="minorEastAsia" w:cstheme="minorEastAsia"/>
          <w:color w:val="000000"/>
          <w:sz w:val="28"/>
          <w:szCs w:val="28"/>
          <w:lang w:val="en-US"/>
        </w:rPr>
        <w:t>具有至少5名从事本领域工作且具有环保相关专业中级及以上技术职称的技术人员，或者至少2名从事本领域工作且具有环保相关专业高级及以上技术职称的技术人员;</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w:t>
      </w:r>
      <w:r>
        <w:rPr>
          <w:rFonts w:hint="eastAsia" w:asciiTheme="minorEastAsia" w:hAnsiTheme="minorEastAsia" w:eastAsiaTheme="minorEastAsia" w:cstheme="minorEastAsia"/>
          <w:color w:val="000000"/>
          <w:sz w:val="28"/>
          <w:szCs w:val="28"/>
          <w:lang w:val="en-US" w:eastAsia="zh-CN"/>
        </w:rPr>
        <w:t>（4）</w:t>
      </w:r>
      <w:r>
        <w:rPr>
          <w:rFonts w:hint="eastAsia" w:asciiTheme="minorEastAsia" w:hAnsiTheme="minorEastAsia" w:eastAsiaTheme="minorEastAsia" w:cstheme="minorEastAsia"/>
          <w:color w:val="000000"/>
          <w:sz w:val="28"/>
          <w:szCs w:val="28"/>
          <w:lang w:val="en-US"/>
        </w:rPr>
        <w:t>从事环境保护设施运营服务的年度营业收入占总收入的比例不低于60%;</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w:t>
      </w:r>
      <w:r>
        <w:rPr>
          <w:rFonts w:hint="eastAsia" w:asciiTheme="minorEastAsia" w:hAnsiTheme="minorEastAsia" w:eastAsiaTheme="minorEastAsia" w:cstheme="minorEastAsia"/>
          <w:color w:val="000000"/>
          <w:sz w:val="28"/>
          <w:szCs w:val="28"/>
          <w:lang w:val="en-US" w:eastAsia="zh-CN"/>
        </w:rPr>
        <w:t>（5）</w:t>
      </w:r>
      <w:r>
        <w:rPr>
          <w:rFonts w:hint="eastAsia" w:asciiTheme="minorEastAsia" w:hAnsiTheme="minorEastAsia" w:eastAsiaTheme="minorEastAsia" w:cstheme="minorEastAsia"/>
          <w:color w:val="000000"/>
          <w:sz w:val="28"/>
          <w:szCs w:val="28"/>
          <w:lang w:val="en-US"/>
        </w:rPr>
        <w:t>具备检验能力，拥有自有实验室，仪器配置可满足运行服务范围内常规污染物指标的检测需求;</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w:t>
      </w:r>
      <w:r>
        <w:rPr>
          <w:rFonts w:hint="eastAsia" w:asciiTheme="minorEastAsia" w:hAnsiTheme="minorEastAsia" w:eastAsiaTheme="minorEastAsia" w:cstheme="minorEastAsia"/>
          <w:color w:val="000000"/>
          <w:sz w:val="28"/>
          <w:szCs w:val="28"/>
          <w:lang w:val="en-US" w:eastAsia="zh-CN"/>
        </w:rPr>
        <w:t>（6）</w:t>
      </w:r>
      <w:r>
        <w:rPr>
          <w:rFonts w:hint="eastAsia" w:asciiTheme="minorEastAsia" w:hAnsiTheme="minorEastAsia" w:eastAsiaTheme="minorEastAsia" w:cstheme="minorEastAsia"/>
          <w:color w:val="000000"/>
          <w:sz w:val="28"/>
          <w:szCs w:val="28"/>
          <w:lang w:val="en-US"/>
        </w:rPr>
        <w:t>保证其运营的环境保护设施正常运行，使污染物排放指标能够连续稳定达到国家或者地方规定的排放标准要求;</w:t>
      </w:r>
    </w:p>
    <w:p>
      <w:pPr>
        <w:pStyle w:val="8"/>
        <w:keepNext w:val="0"/>
        <w:keepLines w:val="0"/>
        <w:pageBreakBefore w:val="0"/>
        <w:widowControl w:val="0"/>
        <w:kinsoku/>
        <w:wordWrap/>
        <w:overflowPunct/>
        <w:topLinePunct w:val="0"/>
        <w:bidi w:val="0"/>
        <w:adjustRightInd/>
        <w:snapToGrid/>
        <w:spacing w:line="600" w:lineRule="exact"/>
        <w:ind w:left="28" w:firstLine="64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（7）</w:t>
      </w:r>
      <w:r>
        <w:rPr>
          <w:rFonts w:hint="eastAsia" w:asciiTheme="minorEastAsia" w:hAnsiTheme="minorEastAsia" w:eastAsiaTheme="minorEastAsia" w:cstheme="minorEastAsia"/>
          <w:color w:val="000000"/>
          <w:sz w:val="28"/>
          <w:szCs w:val="28"/>
          <w:lang w:val="en-US"/>
        </w:rPr>
        <w:t>具有良好的纳税信用，近三年内纳税信用等级未被评定为C级或D级。</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p>
      <w:pPr>
        <w:pStyle w:val="8"/>
        <w:keepNext w:val="0"/>
        <w:keepLines w:val="0"/>
        <w:pageBreakBefore w:val="0"/>
        <w:widowControl w:val="0"/>
        <w:kinsoku/>
        <w:wordWrap/>
        <w:overflowPunct/>
        <w:topLinePunct w:val="0"/>
        <w:bidi w:val="0"/>
        <w:adjustRightInd/>
        <w:snapToGrid/>
        <w:spacing w:line="600" w:lineRule="exact"/>
        <w:ind w:left="0" w:right="295"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w:t>
      </w:r>
      <w:bookmarkStart w:id="551" w:name="_GoBack"/>
      <w:r>
        <w:rPr>
          <w:rFonts w:hint="eastAsia" w:asciiTheme="minorEastAsia" w:hAnsiTheme="minorEastAsia" w:eastAsiaTheme="minorEastAsia" w:cstheme="minorEastAsia"/>
          <w:color w:val="000000"/>
          <w:sz w:val="28"/>
          <w:szCs w:val="28"/>
        </w:rPr>
        <w:t>《财政部 税务总局关于延长部分税收优惠政策执行期限的公告》（2022年第4号）</w:t>
      </w:r>
    </w:p>
    <w:p>
      <w:pPr>
        <w:pStyle w:val="8"/>
        <w:keepNext w:val="0"/>
        <w:keepLines w:val="0"/>
        <w:pageBreakBefore w:val="0"/>
        <w:widowControl w:val="0"/>
        <w:kinsoku/>
        <w:wordWrap/>
        <w:overflowPunct/>
        <w:topLinePunct w:val="0"/>
        <w:bidi w:val="0"/>
        <w:adjustRightInd/>
        <w:snapToGrid/>
        <w:spacing w:line="600" w:lineRule="exact"/>
        <w:ind w:left="0" w:right="295"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2.《财政部 税务总局 国家发展改革委 生态环境部关于从事污染防治的第三方企业所得税政策问题的公告》（2019年第60号）</w:t>
      </w:r>
    </w:p>
    <w:bookmarkEnd w:id="551"/>
    <w:p>
      <w:pPr>
        <w:pStyle w:val="4"/>
        <w:keepNext w:val="0"/>
        <w:keepLines w:val="0"/>
        <w:pageBreakBefore w:val="0"/>
        <w:widowControl w:val="0"/>
        <w:numPr>
          <w:ilvl w:val="0"/>
          <w:numId w:val="0"/>
        </w:numPr>
        <w:tabs>
          <w:tab w:val="left" w:pos="484"/>
        </w:tabs>
        <w:kinsoku/>
        <w:wordWrap/>
        <w:overflowPunct/>
        <w:topLinePunct w:val="0"/>
        <w:bidi w:val="0"/>
        <w:adjustRightInd/>
        <w:snapToGrid/>
        <w:spacing w:line="600" w:lineRule="exact"/>
        <w:ind w:leftChars="0" w:firstLine="562" w:firstLineChars="200"/>
        <w:jc w:val="both"/>
        <w:textAlignment w:val="auto"/>
        <w:rPr>
          <w:rFonts w:hint="eastAsia" w:asciiTheme="minorEastAsia" w:hAnsiTheme="minorEastAsia" w:eastAsiaTheme="minorEastAsia" w:cstheme="minorEastAsia"/>
          <w:color w:val="000000"/>
          <w:sz w:val="28"/>
          <w:szCs w:val="28"/>
          <w:lang w:val="en-US"/>
        </w:rPr>
      </w:pPr>
      <w:bookmarkStart w:id="512" w:name="_Toc1854296658"/>
      <w:bookmarkStart w:id="513" w:name="_Toc2574"/>
      <w:bookmarkStart w:id="514" w:name="_Toc1959012939"/>
      <w:bookmarkStart w:id="515" w:name="_Toc120347810"/>
      <w:bookmarkStart w:id="516" w:name="_Toc1360400584"/>
      <w:r>
        <w:rPr>
          <w:rFonts w:hint="eastAsia" w:asciiTheme="minorEastAsia" w:hAnsiTheme="minorEastAsia" w:eastAsiaTheme="minorEastAsia" w:cstheme="minorEastAsia"/>
          <w:color w:val="000000"/>
          <w:sz w:val="28"/>
          <w:szCs w:val="28"/>
          <w:lang w:val="en-US" w:eastAsia="zh-CN"/>
        </w:rPr>
        <w:t>（二十四）支持疫情防护救治等</w:t>
      </w:r>
      <w:r>
        <w:rPr>
          <w:rFonts w:hint="eastAsia" w:asciiTheme="minorEastAsia" w:hAnsiTheme="minorEastAsia" w:eastAsiaTheme="minorEastAsia" w:cstheme="minorEastAsia"/>
          <w:color w:val="000000"/>
          <w:sz w:val="28"/>
          <w:szCs w:val="28"/>
          <w:lang w:val="en-US"/>
        </w:rPr>
        <w:t>免征个人所得税</w:t>
      </w:r>
      <w:r>
        <w:rPr>
          <w:rFonts w:hint="eastAsia" w:asciiTheme="minorEastAsia" w:hAnsiTheme="minorEastAsia" w:eastAsiaTheme="minorEastAsia" w:cstheme="minorEastAsia"/>
          <w:color w:val="000000"/>
          <w:sz w:val="28"/>
          <w:szCs w:val="28"/>
          <w:lang w:val="en-US" w:eastAsia="zh-CN"/>
        </w:rPr>
        <w:t>政策</w:t>
      </w:r>
      <w:bookmarkEnd w:id="512"/>
      <w:bookmarkEnd w:id="513"/>
      <w:bookmarkEnd w:id="514"/>
      <w:bookmarkEnd w:id="515"/>
      <w:bookmarkEnd w:id="516"/>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color w:val="000000"/>
          <w:sz w:val="28"/>
          <w:szCs w:val="28"/>
        </w:rPr>
        <w:t>【享受主体】</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color w:val="000000"/>
          <w:sz w:val="28"/>
          <w:szCs w:val="28"/>
        </w:rPr>
        <w:t>1.参加疫情防治工作的医务人员和防疫工作者</w:t>
      </w:r>
      <w:r>
        <w:rPr>
          <w:rFonts w:hint="eastAsia" w:asciiTheme="minorEastAsia" w:hAnsiTheme="minorEastAsia" w:eastAsiaTheme="minorEastAsia" w:cstheme="minorEastAsia"/>
          <w:color w:val="000000"/>
          <w:sz w:val="28"/>
          <w:szCs w:val="28"/>
          <w:lang w:eastAsia="zh-CN"/>
        </w:rPr>
        <w:t>。</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b/>
          <w:color w:val="000000"/>
          <w:sz w:val="28"/>
          <w:szCs w:val="28"/>
          <w:lang w:val="en-US" w:eastAsia="zh-CN"/>
        </w:rPr>
      </w:pPr>
      <w:r>
        <w:rPr>
          <w:rFonts w:hint="eastAsia" w:asciiTheme="minorEastAsia" w:hAnsiTheme="minorEastAsia" w:eastAsiaTheme="minorEastAsia" w:cstheme="minorEastAsia"/>
          <w:color w:val="000000"/>
          <w:sz w:val="28"/>
          <w:szCs w:val="28"/>
        </w:rPr>
        <w:t>2.</w:t>
      </w:r>
      <w:r>
        <w:rPr>
          <w:rFonts w:hint="eastAsia" w:asciiTheme="minorEastAsia" w:hAnsiTheme="minorEastAsia" w:eastAsiaTheme="minorEastAsia" w:cstheme="minorEastAsia"/>
          <w:color w:val="000000"/>
          <w:sz w:val="28"/>
          <w:szCs w:val="28"/>
          <w:lang w:eastAsia="zh-CN"/>
        </w:rPr>
        <w:t>获得</w:t>
      </w:r>
      <w:r>
        <w:rPr>
          <w:rFonts w:hint="eastAsia" w:asciiTheme="minorEastAsia" w:hAnsiTheme="minorEastAsia" w:eastAsiaTheme="minorEastAsia" w:cstheme="minorEastAsia"/>
          <w:color w:val="000000"/>
          <w:sz w:val="28"/>
          <w:szCs w:val="28"/>
        </w:rPr>
        <w:t>单位发给用于预防新型冠状病毒感染的肺炎的药品、医疗用品和防护用品等实物(不包括现金）的个人</w:t>
      </w:r>
      <w:r>
        <w:rPr>
          <w:rFonts w:hint="eastAsia" w:asciiTheme="minorEastAsia" w:hAnsiTheme="minorEastAsia" w:eastAsiaTheme="minorEastAsia" w:cstheme="minorEastAsia"/>
          <w:color w:val="000000"/>
          <w:sz w:val="28"/>
          <w:szCs w:val="28"/>
          <w:lang w:eastAsia="zh-CN"/>
        </w:rPr>
        <w:t>。</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lang w:val="en-US" w:eastAsia="zh-CN"/>
        </w:rPr>
      </w:pPr>
      <w:r>
        <w:rPr>
          <w:rFonts w:hint="eastAsia" w:asciiTheme="minorEastAsia" w:hAnsiTheme="minorEastAsia" w:eastAsiaTheme="minorEastAsia" w:cstheme="minorEastAsia"/>
          <w:b/>
          <w:color w:val="000000"/>
          <w:sz w:val="28"/>
          <w:szCs w:val="28"/>
          <w:lang w:val="en-US"/>
        </w:rPr>
        <w:t>【优惠内容】</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rPr>
        <w:t>自2020年1月1日至2023年12月31日，</w:t>
      </w:r>
      <w:r>
        <w:rPr>
          <w:rFonts w:hint="eastAsia" w:asciiTheme="minorEastAsia" w:hAnsiTheme="minorEastAsia" w:eastAsiaTheme="minorEastAsia" w:cstheme="minorEastAsia"/>
          <w:color w:val="000000"/>
          <w:sz w:val="28"/>
          <w:szCs w:val="28"/>
          <w:lang w:val="en-US"/>
        </w:rPr>
        <w:t>对参加疫情防治工作的医务人员和防疫工作者按照政府规定标准取得的临时性工作补助和奖金，免征个人所得税。政府规定标准包括各级政府规定的补助和奖金标准。</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对省级及省级以上人民政府规定的对参与疫情防控人员的临时性工作补助和奖金，比照执行。</w:t>
      </w:r>
    </w:p>
    <w:p>
      <w:pPr>
        <w:pStyle w:val="8"/>
        <w:keepNext w:val="0"/>
        <w:keepLines w:val="0"/>
        <w:pageBreakBefore w:val="0"/>
        <w:widowControl w:val="0"/>
        <w:kinsoku/>
        <w:wordWrap/>
        <w:overflowPunct/>
        <w:topLinePunct w:val="0"/>
        <w:bidi w:val="0"/>
        <w:adjustRightInd/>
        <w:snapToGrid w:val="0"/>
        <w:spacing w:line="360" w:lineRule="auto"/>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2.</w:t>
      </w:r>
      <w:r>
        <w:rPr>
          <w:rFonts w:hint="eastAsia" w:asciiTheme="minorEastAsia" w:hAnsiTheme="minorEastAsia" w:eastAsiaTheme="minorEastAsia" w:cstheme="minorEastAsia"/>
          <w:color w:val="000000"/>
          <w:sz w:val="28"/>
          <w:szCs w:val="28"/>
        </w:rPr>
        <w:t>自2020年1月1日至2023年12月31日，</w:t>
      </w:r>
      <w:r>
        <w:rPr>
          <w:rFonts w:hint="eastAsia" w:asciiTheme="minorEastAsia" w:hAnsiTheme="minorEastAsia" w:eastAsiaTheme="minorEastAsia" w:cstheme="minorEastAsia"/>
          <w:color w:val="000000"/>
          <w:sz w:val="28"/>
          <w:szCs w:val="28"/>
          <w:lang w:val="en-US"/>
        </w:rPr>
        <w:t>单位发给个人用于预防新型冠状病毒感染的肺炎的药品、医疗用品和防护用品等实物（不包括现金），不计入工资、薪金收入，免征个人所得税。</w:t>
      </w:r>
    </w:p>
    <w:p>
      <w:pPr>
        <w:keepNext w:val="0"/>
        <w:keepLines w:val="0"/>
        <w:pageBreakBefore w:val="0"/>
        <w:widowControl w:val="0"/>
        <w:kinsoku/>
        <w:wordWrap/>
        <w:overflowPunct/>
        <w:topLinePunct w:val="0"/>
        <w:bidi w:val="0"/>
        <w:adjustRightInd/>
        <w:snapToGrid w:val="0"/>
        <w:spacing w:line="360" w:lineRule="auto"/>
        <w:ind w:left="52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【政策依据】</w:t>
      </w:r>
    </w:p>
    <w:p>
      <w:pPr>
        <w:pStyle w:val="8"/>
        <w:keepNext w:val="0"/>
        <w:keepLines w:val="0"/>
        <w:pageBreakBefore w:val="0"/>
        <w:widowControl w:val="0"/>
        <w:numPr>
          <w:ilvl w:val="0"/>
          <w:numId w:val="0"/>
        </w:numPr>
        <w:kinsoku/>
        <w:wordWrap/>
        <w:overflowPunct/>
        <w:topLinePunct w:val="0"/>
        <w:bidi w:val="0"/>
        <w:adjustRightInd/>
        <w:snapToGrid w:val="0"/>
        <w:spacing w:line="360" w:lineRule="auto"/>
        <w:ind w:left="0" w:leftChars="0" w:right="295"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rPr>
        <w:t>《财政部 税务总局关于延长部分税收优惠政策执行期限的公告》（2022年第4号）</w:t>
      </w:r>
    </w:p>
    <w:p>
      <w:pPr>
        <w:pStyle w:val="8"/>
        <w:numPr>
          <w:ilvl w:val="0"/>
          <w:numId w:val="0"/>
        </w:numPr>
        <w:snapToGrid w:val="0"/>
        <w:spacing w:line="360" w:lineRule="auto"/>
        <w:ind w:right="295" w:firstLine="560" w:firstLineChars="20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2.《财政部 税务总局关于支持新型冠状病毒感染的肺炎疫情防控有关个人所得税政策的公告》（2020年第10号）</w:t>
      </w:r>
    </w:p>
    <w:p>
      <w:pPr>
        <w:pStyle w:val="4"/>
        <w:keepNext w:val="0"/>
        <w:keepLines w:val="0"/>
        <w:pageBreakBefore w:val="0"/>
        <w:widowControl w:val="0"/>
        <w:numPr>
          <w:ilvl w:val="0"/>
          <w:numId w:val="0"/>
        </w:numPr>
        <w:tabs>
          <w:tab w:val="left" w:pos="484"/>
        </w:tabs>
        <w:kinsoku/>
        <w:wordWrap/>
        <w:overflowPunct/>
        <w:topLinePunct w:val="0"/>
        <w:bidi w:val="0"/>
        <w:adjustRightInd/>
        <w:snapToGrid w:val="0"/>
        <w:spacing w:line="360" w:lineRule="auto"/>
        <w:ind w:leftChars="0" w:firstLine="281" w:firstLineChars="100"/>
        <w:jc w:val="both"/>
        <w:textAlignment w:val="auto"/>
        <w:rPr>
          <w:rFonts w:hint="eastAsia" w:asciiTheme="minorEastAsia" w:hAnsiTheme="minorEastAsia" w:eastAsiaTheme="minorEastAsia" w:cstheme="minorEastAsia"/>
          <w:b/>
          <w:color w:val="000000"/>
          <w:sz w:val="28"/>
          <w:szCs w:val="28"/>
        </w:rPr>
      </w:pPr>
      <w:bookmarkStart w:id="517" w:name="_Toc1632"/>
      <w:bookmarkStart w:id="518" w:name="_Toc1180376483"/>
      <w:bookmarkStart w:id="519" w:name="_Toc581102702"/>
      <w:bookmarkStart w:id="520" w:name="_Toc1017822790"/>
      <w:bookmarkStart w:id="521" w:name="_Toc101927537"/>
      <w:r>
        <w:rPr>
          <w:rFonts w:hint="eastAsia" w:asciiTheme="minorEastAsia" w:hAnsiTheme="minorEastAsia" w:eastAsiaTheme="minorEastAsia" w:cstheme="minorEastAsia"/>
          <w:color w:val="000000"/>
          <w:sz w:val="28"/>
          <w:szCs w:val="28"/>
          <w:lang w:val="en-US" w:eastAsia="zh-CN"/>
        </w:rPr>
        <w:t>（二十五）</w:t>
      </w:r>
      <w:r>
        <w:rPr>
          <w:rFonts w:hint="eastAsia" w:asciiTheme="minorEastAsia" w:hAnsiTheme="minorEastAsia" w:eastAsiaTheme="minorEastAsia" w:cstheme="minorEastAsia"/>
          <w:color w:val="000000"/>
          <w:sz w:val="28"/>
          <w:szCs w:val="28"/>
          <w:lang w:val="en-US"/>
        </w:rPr>
        <w:t>商品储备</w:t>
      </w:r>
      <w:r>
        <w:rPr>
          <w:rFonts w:hint="eastAsia" w:asciiTheme="minorEastAsia" w:hAnsiTheme="minorEastAsia" w:eastAsiaTheme="minorEastAsia" w:cstheme="minorEastAsia"/>
          <w:color w:val="000000"/>
          <w:sz w:val="28"/>
          <w:szCs w:val="28"/>
          <w:lang w:val="en-US" w:eastAsia="zh-CN"/>
        </w:rPr>
        <w:t>免征印花税和房产税、城镇土地使用税政策</w:t>
      </w:r>
      <w:bookmarkEnd w:id="517"/>
      <w:bookmarkEnd w:id="518"/>
      <w:bookmarkEnd w:id="519"/>
      <w:bookmarkEnd w:id="520"/>
      <w:bookmarkEnd w:id="521"/>
    </w:p>
    <w:p>
      <w:pPr>
        <w:keepNext w:val="0"/>
        <w:keepLines w:val="0"/>
        <w:pageBreakBefore w:val="0"/>
        <w:widowControl w:val="0"/>
        <w:kinsoku/>
        <w:wordWrap/>
        <w:overflowPunct/>
        <w:topLinePunct w:val="0"/>
        <w:bidi w:val="0"/>
        <w:adjustRightInd/>
        <w:snapToGrid/>
        <w:spacing w:line="600" w:lineRule="exact"/>
        <w:ind w:left="522"/>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pStyle w:val="8"/>
        <w:keepNext w:val="0"/>
        <w:keepLines w:val="0"/>
        <w:pageBreakBefore w:val="0"/>
        <w:widowControl w:val="0"/>
        <w:kinsoku/>
        <w:wordWrap/>
        <w:overflowPunct/>
        <w:topLinePunct w:val="0"/>
        <w:bidi w:val="0"/>
        <w:adjustRightInd/>
        <w:snapToGrid/>
        <w:spacing w:line="600" w:lineRule="exact"/>
        <w:jc w:val="both"/>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商品储备管理公司</w:t>
      </w:r>
      <w:r>
        <w:rPr>
          <w:rFonts w:hint="eastAsia" w:asciiTheme="minorEastAsia" w:hAnsiTheme="minorEastAsia" w:eastAsiaTheme="minorEastAsia" w:cstheme="minorEastAsia"/>
          <w:color w:val="000000"/>
          <w:sz w:val="28"/>
          <w:szCs w:val="28"/>
          <w:lang w:val="en-US"/>
        </w:rPr>
        <w:t>及其直属库</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【优惠内容】</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lang w:val="en-US"/>
        </w:rPr>
        <w:t>自2019年1月1日至2023年12月31日，对商品储备管理公司及其直属库资金账簿免征印花税；对其承担商品储备业务过程中书立的购销合同免征印花税，对合同其他各方当事人应缴纳的印花税照章征收。</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shd w:val="clear" w:color="auto" w:fill="FFFFFF"/>
          <w:lang w:val="en-US"/>
        </w:rPr>
      </w:pPr>
      <w:r>
        <w:rPr>
          <w:rFonts w:hint="eastAsia" w:asciiTheme="minorEastAsia" w:hAnsiTheme="minorEastAsia" w:eastAsiaTheme="minorEastAsia" w:cstheme="minorEastAsia"/>
          <w:color w:val="000000"/>
          <w:sz w:val="28"/>
          <w:szCs w:val="28"/>
          <w:lang w:val="en-US" w:eastAsia="zh-CN"/>
        </w:rPr>
        <w:t>2.</w:t>
      </w:r>
      <w:r>
        <w:rPr>
          <w:rFonts w:hint="eastAsia" w:asciiTheme="minorEastAsia" w:hAnsiTheme="minorEastAsia" w:eastAsiaTheme="minorEastAsia" w:cstheme="minorEastAsia"/>
          <w:color w:val="000000"/>
          <w:sz w:val="28"/>
          <w:szCs w:val="28"/>
          <w:lang w:val="en-US"/>
        </w:rPr>
        <w:t>自2019年1月1日至2023年12月31日，对商品储备管理公司及其直属库自用的承担商品储备业务的房产、土地，免征房产税、城镇土地使用税。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bidi="ar-SA"/>
        </w:rPr>
        <w:drawing>
          <wp:anchor distT="0" distB="0" distL="114300" distR="114300" simplePos="0" relativeHeight="251660288" behindDoc="1" locked="0" layoutInCell="1" allowOverlap="1">
            <wp:simplePos x="0" y="0"/>
            <wp:positionH relativeFrom="margin">
              <wp:posOffset>7296150</wp:posOffset>
            </wp:positionH>
            <wp:positionV relativeFrom="paragraph">
              <wp:posOffset>474980</wp:posOffset>
            </wp:positionV>
            <wp:extent cx="8664575" cy="13563600"/>
            <wp:effectExtent l="0" t="0" r="3175" b="0"/>
            <wp:wrapNone/>
            <wp:docPr id="2" name="image9.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image9.png"/>
                    <pic:cNvPicPr>
                      <a:picLocks noChangeAspect="true"/>
                    </pic:cNvPicPr>
                  </pic:nvPicPr>
                  <pic:blipFill>
                    <a:blip r:embed="rId12"/>
                    <a:stretch>
                      <a:fillRect/>
                    </a:stretch>
                  </pic:blipFill>
                  <pic:spPr>
                    <a:xfrm>
                      <a:off x="0" y="0"/>
                      <a:ext cx="8664575" cy="13563600"/>
                    </a:xfrm>
                    <a:prstGeom prst="rect">
                      <a:avLst/>
                    </a:prstGeom>
                    <a:noFill/>
                    <a:ln>
                      <a:noFill/>
                    </a:ln>
                  </pic:spPr>
                </pic:pic>
              </a:graphicData>
            </a:graphic>
          </wp:anchor>
        </w:drawing>
      </w:r>
      <w:r>
        <w:rPr>
          <w:rFonts w:hint="eastAsia" w:asciiTheme="minorEastAsia" w:hAnsiTheme="minorEastAsia" w:eastAsiaTheme="minorEastAsia" w:cstheme="minorEastAsia"/>
          <w:color w:val="000000"/>
          <w:sz w:val="28"/>
          <w:szCs w:val="28"/>
          <w:lang w:val="en-US"/>
        </w:rPr>
        <w:t>1.所称商品储备管理公司及其直属库，是指接受县级以上政府有关部门委托，承担粮（含大豆）、食用油、棉、糖、肉5种商品储备任务，取得财政储备经费或者补贴的商品储备企业。</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2.承担中央政府有关部门委托商品储备业务的储备管理公司及其直属库，包括中国储备粮管理集团有限公司及其分公司、直属库，以及华商储备商品管理中心有限公司及其管理的国家储备糖库、国家储备肉库。</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承担地方政府有关部门委托商品储备业务的储备管理公司及其直属库，由省、自治区、直辖市财政、税务部门会同有关部门明确或者制定具体管理办法，并报省、自治区、直辖市人民政府批准。</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3. 企业享受</w:t>
      </w:r>
      <w:r>
        <w:rPr>
          <w:rFonts w:hint="eastAsia" w:asciiTheme="minorEastAsia" w:hAnsiTheme="minorEastAsia" w:eastAsiaTheme="minorEastAsia" w:cstheme="minorEastAsia"/>
          <w:color w:val="000000"/>
          <w:sz w:val="28"/>
          <w:szCs w:val="28"/>
          <w:lang w:val="en-US" w:eastAsia="zh-CN"/>
        </w:rPr>
        <w:t>本</w:t>
      </w:r>
      <w:r>
        <w:rPr>
          <w:rFonts w:hint="eastAsia" w:asciiTheme="minorEastAsia" w:hAnsiTheme="minorEastAsia" w:eastAsiaTheme="minorEastAsia" w:cstheme="minorEastAsia"/>
          <w:color w:val="000000"/>
          <w:sz w:val="28"/>
          <w:szCs w:val="28"/>
          <w:lang w:val="en-US"/>
        </w:rPr>
        <w:t>政策，应按规定进行免税申报，并将不动产权属证明、房产原值、承担商品储备业务情况、储备库建设规划等资料留存备查。</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4.2022年1月1日以后已缴上述应予免税的款项，从企业应纳的相应税款中抵扣或者予以退税。</w:t>
      </w:r>
    </w:p>
    <w:p>
      <w:pPr>
        <w:keepNext w:val="0"/>
        <w:keepLines w:val="0"/>
        <w:pageBreakBefore w:val="0"/>
        <w:widowControl w:val="0"/>
        <w:kinsoku/>
        <w:wordWrap/>
        <w:overflowPunct/>
        <w:topLinePunct w:val="0"/>
        <w:bidi w:val="0"/>
        <w:adjustRightInd/>
        <w:snapToGrid w:val="0"/>
        <w:spacing w:line="360" w:lineRule="auto"/>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p>
      <w:pPr>
        <w:pStyle w:val="8"/>
        <w:keepNext w:val="0"/>
        <w:keepLines w:val="0"/>
        <w:pageBreakBefore w:val="0"/>
        <w:widowControl w:val="0"/>
        <w:kinsoku/>
        <w:wordWrap/>
        <w:overflowPunct/>
        <w:topLinePunct w:val="0"/>
        <w:bidi w:val="0"/>
        <w:adjustRightInd/>
        <w:snapToGrid w:val="0"/>
        <w:spacing w:line="360" w:lineRule="auto"/>
        <w:ind w:left="0" w:firstLine="560" w:firstLineChars="200"/>
        <w:jc w:val="both"/>
        <w:textAlignment w:val="auto"/>
        <w:outlineLvl w:val="2"/>
        <w:rPr>
          <w:rFonts w:hint="eastAsia" w:asciiTheme="minorEastAsia" w:hAnsiTheme="minorEastAsia" w:eastAsiaTheme="minorEastAsia" w:cstheme="minorEastAsia"/>
          <w:bCs/>
          <w:color w:val="000000"/>
          <w:sz w:val="28"/>
          <w:szCs w:val="28"/>
          <w:lang w:val="en-US"/>
        </w:rPr>
      </w:pPr>
      <w:r>
        <w:rPr>
          <w:rFonts w:hint="eastAsia" w:asciiTheme="minorEastAsia" w:hAnsiTheme="minorEastAsia" w:eastAsiaTheme="minorEastAsia" w:cstheme="minorEastAsia"/>
          <w:bCs/>
          <w:color w:val="000000"/>
          <w:sz w:val="28"/>
          <w:szCs w:val="28"/>
          <w:lang w:val="en-US"/>
        </w:rPr>
        <w:t>1.《财政部 税务总局关于延续执行部分国家商品储备税收优惠政策的公告》（2022年第8号）</w:t>
      </w:r>
    </w:p>
    <w:p>
      <w:pPr>
        <w:pStyle w:val="8"/>
        <w:snapToGrid w:val="0"/>
        <w:spacing w:line="360" w:lineRule="auto"/>
        <w:ind w:left="0" w:firstLine="560" w:firstLineChars="200"/>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bCs/>
          <w:color w:val="000000"/>
          <w:sz w:val="28"/>
          <w:szCs w:val="28"/>
          <w:lang w:val="en-US"/>
        </w:rPr>
        <w:t>2. 《财政部 税务总局关于部分国家储备商品有关税收政策的公告》（2019年第77号）</w:t>
      </w:r>
    </w:p>
    <w:p>
      <w:pPr>
        <w:pStyle w:val="4"/>
        <w:keepNext w:val="0"/>
        <w:keepLines w:val="0"/>
        <w:pageBreakBefore w:val="0"/>
        <w:widowControl w:val="0"/>
        <w:numPr>
          <w:ilvl w:val="0"/>
          <w:numId w:val="0"/>
        </w:numPr>
        <w:tabs>
          <w:tab w:val="left" w:pos="484"/>
        </w:tabs>
        <w:kinsoku/>
        <w:wordWrap/>
        <w:overflowPunct/>
        <w:topLinePunct w:val="0"/>
        <w:bidi w:val="0"/>
        <w:adjustRightInd/>
        <w:snapToGrid w:val="0"/>
        <w:spacing w:line="360" w:lineRule="auto"/>
        <w:ind w:leftChars="0" w:firstLine="562" w:firstLineChars="200"/>
        <w:jc w:val="both"/>
        <w:textAlignment w:val="auto"/>
        <w:rPr>
          <w:rFonts w:hint="eastAsia" w:asciiTheme="minorEastAsia" w:hAnsiTheme="minorEastAsia" w:eastAsiaTheme="minorEastAsia" w:cstheme="minorEastAsia"/>
          <w:color w:val="000000"/>
          <w:sz w:val="28"/>
          <w:szCs w:val="28"/>
        </w:rPr>
      </w:pPr>
      <w:bookmarkStart w:id="522" w:name="_Toc441028115"/>
      <w:bookmarkStart w:id="523" w:name="_Toc15198"/>
      <w:bookmarkStart w:id="524" w:name="_Toc787258541"/>
      <w:bookmarkStart w:id="525" w:name="_Toc1800830519"/>
      <w:bookmarkStart w:id="526" w:name="_Toc1447157101"/>
      <w:r>
        <w:rPr>
          <w:rFonts w:hint="eastAsia" w:asciiTheme="minorEastAsia" w:hAnsiTheme="minorEastAsia" w:eastAsiaTheme="minorEastAsia" w:cstheme="minorEastAsia"/>
          <w:color w:val="000000"/>
          <w:sz w:val="28"/>
          <w:szCs w:val="28"/>
          <w:lang w:val="en-US" w:eastAsia="zh-CN"/>
        </w:rPr>
        <w:t>（二十六）制造业中小微企业</w:t>
      </w:r>
      <w:r>
        <w:rPr>
          <w:rFonts w:hint="eastAsia" w:asciiTheme="minorEastAsia" w:hAnsiTheme="minorEastAsia" w:eastAsiaTheme="minorEastAsia" w:cstheme="minorEastAsia"/>
          <w:color w:val="000000"/>
          <w:sz w:val="28"/>
          <w:szCs w:val="28"/>
          <w:lang w:val="en-US"/>
        </w:rPr>
        <w:t>继续延缓缴纳2021年第四季度部分税费</w:t>
      </w:r>
      <w:bookmarkEnd w:id="522"/>
      <w:bookmarkEnd w:id="523"/>
      <w:bookmarkEnd w:id="524"/>
      <w:bookmarkEnd w:id="525"/>
      <w:bookmarkEnd w:id="526"/>
    </w:p>
    <w:p>
      <w:pPr>
        <w:keepNext w:val="0"/>
        <w:keepLines w:val="0"/>
        <w:pageBreakBefore w:val="0"/>
        <w:widowControl w:val="0"/>
        <w:kinsoku/>
        <w:wordWrap/>
        <w:overflowPunct/>
        <w:topLinePunct w:val="0"/>
        <w:bidi w:val="0"/>
        <w:adjustRightInd/>
        <w:snapToGrid w:val="0"/>
        <w:spacing w:line="360" w:lineRule="auto"/>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pStyle w:val="8"/>
        <w:keepNext w:val="0"/>
        <w:keepLines w:val="0"/>
        <w:pageBreakBefore w:val="0"/>
        <w:widowControl w:val="0"/>
        <w:kinsoku/>
        <w:wordWrap/>
        <w:overflowPunct/>
        <w:topLinePunct w:val="0"/>
        <w:bidi w:val="0"/>
        <w:adjustRightInd/>
        <w:snapToGrid w:val="0"/>
        <w:spacing w:line="360" w:lineRule="auto"/>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eastAsia="zh-CN"/>
        </w:rPr>
        <w:t>符合条件的</w:t>
      </w:r>
      <w:r>
        <w:rPr>
          <w:rFonts w:hint="eastAsia" w:asciiTheme="minorEastAsia" w:hAnsiTheme="minorEastAsia" w:eastAsiaTheme="minorEastAsia" w:cstheme="minorEastAsia"/>
          <w:color w:val="000000"/>
          <w:sz w:val="28"/>
          <w:szCs w:val="28"/>
        </w:rPr>
        <w:t>制造业中小微企业（含个人独资企业、合伙企业、个体工商户）</w:t>
      </w:r>
    </w:p>
    <w:p>
      <w:pPr>
        <w:keepNext w:val="0"/>
        <w:keepLines w:val="0"/>
        <w:pageBreakBefore w:val="0"/>
        <w:widowControl w:val="0"/>
        <w:kinsoku/>
        <w:wordWrap/>
        <w:overflowPunct/>
        <w:topLinePunct w:val="0"/>
        <w:bidi w:val="0"/>
        <w:adjustRightInd/>
        <w:snapToGrid w:val="0"/>
        <w:spacing w:line="360" w:lineRule="auto"/>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【优惠内容】</w:t>
      </w:r>
    </w:p>
    <w:p>
      <w:pPr>
        <w:pStyle w:val="8"/>
        <w:keepNext w:val="0"/>
        <w:keepLines w:val="0"/>
        <w:pageBreakBefore w:val="0"/>
        <w:widowControl w:val="0"/>
        <w:kinsoku/>
        <w:wordWrap/>
        <w:overflowPunct/>
        <w:topLinePunct w:val="0"/>
        <w:bidi w:val="0"/>
        <w:adjustRightInd/>
        <w:snapToGrid w:val="0"/>
        <w:spacing w:line="360" w:lineRule="auto"/>
        <w:ind w:left="0" w:firstLine="560" w:firstLineChars="200"/>
        <w:jc w:val="both"/>
        <w:textAlignment w:val="auto"/>
        <w:outlineLvl w:val="2"/>
        <w:rPr>
          <w:rFonts w:hint="eastAsia" w:asciiTheme="minorEastAsia" w:hAnsiTheme="minorEastAsia" w:eastAsiaTheme="minorEastAsia" w:cstheme="minorEastAsia"/>
          <w:color w:val="000000"/>
          <w:sz w:val="28"/>
          <w:szCs w:val="28"/>
          <w:shd w:val="clear" w:color="auto" w:fill="FFFFFF"/>
          <w:lang w:val="en-US"/>
        </w:rPr>
      </w:pPr>
      <w:r>
        <w:rPr>
          <w:rFonts w:hint="eastAsia" w:asciiTheme="minorEastAsia" w:hAnsiTheme="minorEastAsia" w:eastAsiaTheme="minorEastAsia" w:cstheme="minorEastAsia"/>
          <w:color w:val="000000"/>
          <w:sz w:val="28"/>
          <w:szCs w:val="28"/>
        </w:rPr>
        <w:t>《国家税务总局 财政部关于制造业中小微企业延缓缴纳2021年第四季度部分税费有关事项的公告》（2021年第30号）</w:t>
      </w:r>
      <w:r>
        <w:rPr>
          <w:rFonts w:hint="eastAsia" w:asciiTheme="minorEastAsia" w:hAnsiTheme="minorEastAsia" w:eastAsiaTheme="minorEastAsia" w:cstheme="minorEastAsia"/>
          <w:color w:val="000000"/>
          <w:sz w:val="28"/>
          <w:szCs w:val="28"/>
          <w:lang w:eastAsia="zh-CN"/>
        </w:rPr>
        <w:t>规定的</w:t>
      </w:r>
      <w:r>
        <w:rPr>
          <w:rFonts w:hint="eastAsia" w:asciiTheme="minorEastAsia" w:hAnsiTheme="minorEastAsia" w:eastAsiaTheme="minorEastAsia" w:cstheme="minorEastAsia"/>
          <w:color w:val="000000"/>
          <w:sz w:val="28"/>
          <w:szCs w:val="28"/>
        </w:rPr>
        <w:t>制造业中小微企业延缓缴纳2021年第四季度部分税费政策，缓缴期限继续延长6个月。</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1.制造业中型企业是指国民经济行业分类中行业门类为制造业，且年销售额2000万元以上（含2000万元）4亿元以下（不含4亿元）的企业。制造业小微企业是</w:t>
      </w:r>
      <w:r>
        <w:rPr>
          <w:rFonts w:hint="eastAsia" w:asciiTheme="minorEastAsia" w:hAnsiTheme="minorEastAsia" w:eastAsiaTheme="minorEastAsia" w:cstheme="minorEastAsia"/>
          <w:color w:val="auto"/>
          <w:sz w:val="28"/>
          <w:szCs w:val="28"/>
        </w:rPr>
        <w:t>指国民经济行业分类中行业门类为制造业，且年销售额2000万元以下（不含2000万元）的企业。</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销售额是指应征增值税销售额，包括纳税申报销售额、稽查查补销售额、纳税评估调整销售额。适用增值税差额征税政策的，以差额后的销售额确定。</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2.制造业中小微企业年销售额按以下方式确定：</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commentRangeStart w:id="0"/>
      <w:r>
        <w:rPr>
          <w:rFonts w:hint="eastAsia" w:asciiTheme="minorEastAsia" w:hAnsiTheme="minorEastAsia" w:eastAsiaTheme="minorEastAsia" w:cstheme="minorEastAsia"/>
          <w:color w:val="000000"/>
          <w:sz w:val="28"/>
          <w:szCs w:val="28"/>
        </w:rPr>
        <w:t>截至2021年9月30日成立满一年的企业，按照所属期为2020年10月至2021年9月的销售额确定；</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截至2021年9月30日成立不满一年的企业，按照所属期截至2021年9月30日的销售额/实际经营月份×12个月的销售额确定；</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2021年10月1日及以后成立的企业，按照首个申报期销售额/实际经营月份×12个月的销售额确定。</w:t>
      </w:r>
      <w:commentRangeEnd w:id="0"/>
      <w:r>
        <w:rPr>
          <w:rFonts w:hint="eastAsia" w:asciiTheme="minorEastAsia" w:hAnsiTheme="minorEastAsia" w:eastAsiaTheme="minorEastAsia" w:cstheme="minorEastAsia"/>
          <w:sz w:val="28"/>
          <w:szCs w:val="28"/>
        </w:rPr>
        <w:commentReference w:id="0"/>
      </w:r>
    </w:p>
    <w:p>
      <w:pPr>
        <w:pStyle w:val="8"/>
        <w:keepNext w:val="0"/>
        <w:keepLines w:val="0"/>
        <w:pageBreakBefore w:val="0"/>
        <w:widowControl w:val="0"/>
        <w:numPr>
          <w:ilvl w:val="0"/>
          <w:numId w:val="0"/>
        </w:numPr>
        <w:kinsoku/>
        <w:wordWrap/>
        <w:overflowPunct/>
        <w:topLinePunct w:val="0"/>
        <w:bidi w:val="0"/>
        <w:adjustRightInd/>
        <w:snapToGrid/>
        <w:spacing w:line="600" w:lineRule="exact"/>
        <w:ind w:left="0" w:leftChars="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eastAsia="zh-CN"/>
        </w:rPr>
        <w:t>3.</w:t>
      </w:r>
      <w:r>
        <w:rPr>
          <w:rFonts w:hint="eastAsia" w:asciiTheme="minorEastAsia" w:hAnsiTheme="minorEastAsia" w:eastAsiaTheme="minorEastAsia" w:cstheme="minorEastAsia"/>
          <w:color w:val="000000"/>
          <w:sz w:val="28"/>
          <w:szCs w:val="28"/>
        </w:rPr>
        <w:t>享受2021年第四季度缓缴企业所得税政策的制造业中小微企业，在办理2021年度企业所得税汇算清缴年度申报时，产生的应补税款与2021年第四季度已缓缴的税款一并延后缴纳入库，产生的应退税款由纳税人按照有关规定办理。</w:t>
      </w:r>
    </w:p>
    <w:p>
      <w:pPr>
        <w:pStyle w:val="8"/>
        <w:keepNext w:val="0"/>
        <w:keepLines w:val="0"/>
        <w:pageBreakBefore w:val="0"/>
        <w:widowControl w:val="0"/>
        <w:numPr>
          <w:ilvl w:val="0"/>
          <w:numId w:val="0"/>
        </w:numPr>
        <w:kinsoku/>
        <w:wordWrap/>
        <w:overflowPunct/>
        <w:topLinePunct w:val="0"/>
        <w:bidi w:val="0"/>
        <w:adjustRightInd/>
        <w:snapToGrid/>
        <w:spacing w:line="600" w:lineRule="exact"/>
        <w:ind w:left="0" w:leftChars="0"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4.上述企业2021年第四季度延缓缴纳的税费在2022年1月1日后本公告施行前已缴纳入库的，可自愿选择申请办理退税(费)并享受延续缓缴政策。</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color w:val="000000"/>
          <w:sz w:val="28"/>
          <w:szCs w:val="28"/>
        </w:rPr>
        <w:t>1.《国家税务总局 财政部关于延续实施制造业中小微企业延缓缴纳部分税费有关事项的公告》（2022年第2号）</w:t>
      </w:r>
    </w:p>
    <w:p>
      <w:pPr>
        <w:keepNext w:val="0"/>
        <w:keepLines w:val="0"/>
        <w:pageBreakBefore w:val="0"/>
        <w:widowControl w:val="0"/>
        <w:kinsoku/>
        <w:wordWrap/>
        <w:overflowPunct/>
        <w:topLinePunct w:val="0"/>
        <w:bidi w:val="0"/>
        <w:adjustRightInd/>
        <w:snapToGrid/>
        <w:spacing w:line="600" w:lineRule="exact"/>
        <w:ind w:firstLine="560" w:firstLineChars="200"/>
        <w:jc w:val="lef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2.《国家税务总局 财政部关于制造业中小微企业延缓缴纳2021年第四季度部分税费有关事项的公告》（2021年第30号）</w:t>
      </w:r>
    </w:p>
    <w:p>
      <w:pPr>
        <w:pStyle w:val="4"/>
        <w:keepNext w:val="0"/>
        <w:keepLines w:val="0"/>
        <w:pageBreakBefore w:val="0"/>
        <w:widowControl w:val="0"/>
        <w:numPr>
          <w:ilvl w:val="0"/>
          <w:numId w:val="0"/>
        </w:numPr>
        <w:tabs>
          <w:tab w:val="left" w:pos="484"/>
        </w:tabs>
        <w:kinsoku/>
        <w:wordWrap/>
        <w:overflowPunct/>
        <w:topLinePunct w:val="0"/>
        <w:bidi w:val="0"/>
        <w:adjustRightInd/>
        <w:snapToGrid/>
        <w:spacing w:line="600" w:lineRule="exact"/>
        <w:ind w:leftChars="0" w:firstLine="562" w:firstLineChars="200"/>
        <w:jc w:val="both"/>
        <w:textAlignment w:val="auto"/>
        <w:rPr>
          <w:rFonts w:hint="eastAsia" w:asciiTheme="minorEastAsia" w:hAnsiTheme="minorEastAsia" w:eastAsiaTheme="minorEastAsia" w:cstheme="minorEastAsia"/>
          <w:color w:val="000000"/>
          <w:sz w:val="28"/>
          <w:szCs w:val="28"/>
        </w:rPr>
      </w:pPr>
      <w:bookmarkStart w:id="527" w:name="_Toc21621"/>
      <w:bookmarkStart w:id="528" w:name="_Toc1281687083"/>
      <w:bookmarkStart w:id="529" w:name="_Toc168423004"/>
      <w:bookmarkStart w:id="530" w:name="_Toc1181600374"/>
      <w:bookmarkStart w:id="531" w:name="_Toc783605533"/>
      <w:r>
        <w:rPr>
          <w:rFonts w:hint="eastAsia" w:asciiTheme="minorEastAsia" w:hAnsiTheme="minorEastAsia" w:eastAsiaTheme="minorEastAsia" w:cstheme="minorEastAsia"/>
          <w:color w:val="000000"/>
          <w:sz w:val="28"/>
          <w:szCs w:val="28"/>
          <w:lang w:val="en-US" w:eastAsia="zh-CN"/>
        </w:rPr>
        <w:t>（二十七）</w:t>
      </w:r>
      <w:r>
        <w:rPr>
          <w:rFonts w:hint="eastAsia" w:asciiTheme="minorEastAsia" w:hAnsiTheme="minorEastAsia" w:eastAsiaTheme="minorEastAsia" w:cstheme="minorEastAsia"/>
          <w:color w:val="000000"/>
          <w:sz w:val="28"/>
          <w:szCs w:val="28"/>
          <w:lang w:val="en-US"/>
        </w:rPr>
        <w:t>生产、生活性服务业增值税加计抵减政策</w:t>
      </w:r>
      <w:bookmarkEnd w:id="527"/>
      <w:bookmarkEnd w:id="528"/>
      <w:bookmarkEnd w:id="529"/>
      <w:bookmarkEnd w:id="530"/>
      <w:bookmarkEnd w:id="531"/>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rPr>
        <w:t>生产、生活性服务业纳税人</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【优惠内容】</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lang w:val="en-US"/>
        </w:rPr>
        <w:t>自2019年4月1日至2022年12月31日，允许生产、生活性服务业纳税人按照当期可抵扣进项税额加计10%，抵减应纳税额。</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eastAsia="zh-CN"/>
        </w:rPr>
        <w:t>2.</w:t>
      </w:r>
      <w:r>
        <w:rPr>
          <w:rFonts w:hint="eastAsia" w:asciiTheme="minorEastAsia" w:hAnsiTheme="minorEastAsia" w:eastAsiaTheme="minorEastAsia" w:cstheme="minorEastAsia"/>
          <w:color w:val="000000"/>
          <w:sz w:val="28"/>
          <w:szCs w:val="28"/>
        </w:rPr>
        <w:t>2019年10月1日至2022年12月31日，允许生活性服务业纳税人按照当期可抵扣进项税额加计15%，抵减应纳税额。</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rPr>
        <w:t>1.生产、生活性服务业纳税人，是指提供邮政服务、电信服务、现代服务、生活服务（以下称四项服务）取得的销售额占全部销售额的比重超过50%的纳税人。</w:t>
      </w:r>
      <w:r>
        <w:rPr>
          <w:rFonts w:hint="eastAsia" w:asciiTheme="minorEastAsia" w:hAnsiTheme="minorEastAsia" w:eastAsiaTheme="minorEastAsia" w:cstheme="minorEastAsia"/>
          <w:color w:val="000000"/>
          <w:sz w:val="28"/>
          <w:szCs w:val="28"/>
          <w:lang w:val="en-US"/>
        </w:rPr>
        <w:t>四项服务的具体范围按照《销售服务、无形资产、不动产注释》（财税〔2016〕36号印发）执行。</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2019年3月31日前设立的纳税人，自2018年4月至2019年3月期间的销售额(经营期不满12个月的，按照实际经营期的销售额)符合上述规定条件的，自2019年4月1日起适用加计抵减政策。</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2019年4月1日后设立的纳税人，自设立之日起3个月的销售额符合上述规定条件的，自登记为一般纳税人之日起适用加计抵减政策。</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2.生活性服务业纳税人，是指提供生活服务取得的销售额占全部销售额的比重超过50%的纳税人。生活服务的具体范围按照《销售服务、无形资产、不动产注释》（财税〔2016〕36号印发）执行。</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2019年9月30日前设立的纳税人，自2018年10月至2019年9月期间的销售额（经营期不满12个月的，按照实际经营期的销售额）符合上述规定条件的，自2019年10月1日起适用加计抵减15%政策。</w:t>
      </w:r>
    </w:p>
    <w:p>
      <w:pPr>
        <w:pStyle w:val="8"/>
        <w:keepNext w:val="0"/>
        <w:keepLines w:val="0"/>
        <w:pageBreakBefore w:val="0"/>
        <w:widowControl w:val="0"/>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2019年10月1日后设立的纳税人，自设立之日起3个月的销售额符合上述规定条件的，自登记为一般纳税人之日起适用加计抵减15%政策。</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p>
      <w:pPr>
        <w:pStyle w:val="8"/>
        <w:keepNext w:val="0"/>
        <w:keepLines w:val="0"/>
        <w:pageBreakBefore w:val="0"/>
        <w:widowControl w:val="0"/>
        <w:kinsoku/>
        <w:wordWrap/>
        <w:overflowPunct/>
        <w:topLinePunct w:val="0"/>
        <w:bidi w:val="0"/>
        <w:adjustRightInd/>
        <w:snapToGrid w:val="0"/>
        <w:spacing w:line="360" w:lineRule="auto"/>
        <w:ind w:left="0" w:right="295"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1.《财政部 税务总局关于促进服务业领域困难行业纾困发展有关增值税政策的公告》（2022年第11号）</w:t>
      </w:r>
    </w:p>
    <w:p>
      <w:pPr>
        <w:pStyle w:val="8"/>
        <w:keepNext w:val="0"/>
        <w:keepLines w:val="0"/>
        <w:pageBreakBefore w:val="0"/>
        <w:widowControl w:val="0"/>
        <w:kinsoku/>
        <w:wordWrap/>
        <w:overflowPunct/>
        <w:topLinePunct w:val="0"/>
        <w:bidi w:val="0"/>
        <w:adjustRightInd/>
        <w:snapToGrid w:val="0"/>
        <w:spacing w:line="360" w:lineRule="auto"/>
        <w:ind w:left="0" w:right="295" w:firstLine="560" w:firstLineChars="200"/>
        <w:jc w:val="both"/>
        <w:textAlignment w:val="auto"/>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2.《财政部 税务总局 海关总署关于深化增值税改革有关政策的公告》（2019年39号）</w:t>
      </w:r>
    </w:p>
    <w:p>
      <w:pPr>
        <w:pStyle w:val="8"/>
        <w:snapToGrid w:val="0"/>
        <w:spacing w:line="360" w:lineRule="auto"/>
        <w:ind w:left="0" w:right="295" w:firstLine="0" w:firstLineChars="0"/>
        <w:jc w:val="both"/>
        <w:outlineLvl w:val="2"/>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eastAsia="zh-CN"/>
        </w:rPr>
        <w:t xml:space="preserve">    3.</w:t>
      </w:r>
      <w:r>
        <w:rPr>
          <w:rFonts w:hint="eastAsia" w:asciiTheme="minorEastAsia" w:hAnsiTheme="minorEastAsia" w:eastAsiaTheme="minorEastAsia" w:cstheme="minorEastAsia"/>
          <w:color w:val="000000"/>
          <w:sz w:val="28"/>
          <w:szCs w:val="28"/>
        </w:rPr>
        <w:t>《财政部 税务总局关于明确生活性服务业增值税加计抵减政策的公告》（2019年第87号）</w:t>
      </w:r>
    </w:p>
    <w:p>
      <w:pPr>
        <w:pStyle w:val="4"/>
        <w:keepNext w:val="0"/>
        <w:keepLines w:val="0"/>
        <w:pageBreakBefore w:val="0"/>
        <w:widowControl w:val="0"/>
        <w:tabs>
          <w:tab w:val="left" w:pos="484"/>
        </w:tabs>
        <w:kinsoku/>
        <w:wordWrap/>
        <w:overflowPunct/>
        <w:topLinePunct w:val="0"/>
        <w:bidi w:val="0"/>
        <w:adjustRightInd/>
        <w:snapToGrid w:val="0"/>
        <w:spacing w:line="360" w:lineRule="auto"/>
        <w:ind w:left="0" w:firstLine="562" w:firstLineChars="200"/>
        <w:jc w:val="both"/>
        <w:textAlignment w:val="auto"/>
        <w:rPr>
          <w:rFonts w:hint="eastAsia" w:asciiTheme="minorEastAsia" w:hAnsiTheme="minorEastAsia" w:eastAsiaTheme="minorEastAsia" w:cstheme="minorEastAsia"/>
          <w:color w:val="000000"/>
          <w:sz w:val="28"/>
          <w:szCs w:val="28"/>
          <w:lang w:val="en-US"/>
        </w:rPr>
      </w:pPr>
      <w:bookmarkStart w:id="532" w:name="_Toc1056382610"/>
      <w:bookmarkStart w:id="533" w:name="_Toc2089680205"/>
      <w:bookmarkStart w:id="534" w:name="_Toc32555"/>
      <w:bookmarkStart w:id="535" w:name="_Toc927460937"/>
      <w:bookmarkStart w:id="536" w:name="_Toc1092645072"/>
      <w:r>
        <w:rPr>
          <w:rFonts w:hint="eastAsia" w:asciiTheme="minorEastAsia" w:hAnsiTheme="minorEastAsia" w:eastAsiaTheme="minorEastAsia" w:cstheme="minorEastAsia"/>
          <w:color w:val="000000"/>
          <w:sz w:val="28"/>
          <w:szCs w:val="28"/>
          <w:lang w:val="en-US" w:eastAsia="zh-CN"/>
        </w:rPr>
        <w:t>（二十八）</w:t>
      </w:r>
      <w:r>
        <w:rPr>
          <w:rFonts w:hint="eastAsia" w:asciiTheme="minorEastAsia" w:hAnsiTheme="minorEastAsia" w:eastAsiaTheme="minorEastAsia" w:cstheme="minorEastAsia"/>
          <w:sz w:val="28"/>
          <w:szCs w:val="28"/>
          <w:lang w:val="en-US"/>
        </w:rPr>
        <w:t>创</w:t>
      </w:r>
      <w:r>
        <w:rPr>
          <w:rFonts w:hint="eastAsia" w:asciiTheme="minorEastAsia" w:hAnsiTheme="minorEastAsia" w:eastAsiaTheme="minorEastAsia" w:cstheme="minorEastAsia"/>
          <w:sz w:val="28"/>
          <w:szCs w:val="28"/>
          <w:lang w:val="en-US" w:eastAsia="zh-CN"/>
        </w:rPr>
        <w:t>业投资</w:t>
      </w:r>
      <w:r>
        <w:rPr>
          <w:rFonts w:hint="eastAsia" w:asciiTheme="minorEastAsia" w:hAnsiTheme="minorEastAsia" w:eastAsiaTheme="minorEastAsia" w:cstheme="minorEastAsia"/>
          <w:sz w:val="28"/>
          <w:szCs w:val="28"/>
          <w:lang w:val="en-US"/>
        </w:rPr>
        <w:t>企业和天使投资个人</w:t>
      </w:r>
      <w:r>
        <w:rPr>
          <w:rFonts w:hint="eastAsia" w:asciiTheme="minorEastAsia" w:hAnsiTheme="minorEastAsia" w:eastAsiaTheme="minorEastAsia" w:cstheme="minorEastAsia"/>
          <w:sz w:val="28"/>
          <w:szCs w:val="28"/>
          <w:lang w:val="en-US" w:eastAsia="zh-CN"/>
        </w:rPr>
        <w:t>有关税收优惠政策</w:t>
      </w:r>
      <w:bookmarkEnd w:id="532"/>
      <w:bookmarkEnd w:id="533"/>
      <w:bookmarkEnd w:id="534"/>
      <w:bookmarkEnd w:id="535"/>
      <w:bookmarkEnd w:id="536"/>
    </w:p>
    <w:p>
      <w:pPr>
        <w:keepNext w:val="0"/>
        <w:keepLines w:val="0"/>
        <w:pageBreakBefore w:val="0"/>
        <w:widowControl w:val="0"/>
        <w:kinsoku/>
        <w:wordWrap/>
        <w:overflowPunct/>
        <w:topLinePunct w:val="0"/>
        <w:bidi w:val="0"/>
        <w:adjustRightInd/>
        <w:snapToGrid w:val="0"/>
        <w:spacing w:line="360" w:lineRule="auto"/>
        <w:ind w:firstLine="562" w:firstLineChars="20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keepNext w:val="0"/>
        <w:keepLines w:val="0"/>
        <w:pageBreakBefore w:val="0"/>
        <w:widowControl w:val="0"/>
        <w:kinsoku/>
        <w:wordWrap/>
        <w:overflowPunct/>
        <w:topLinePunct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公司制创业投资企业、有限合伙制创业投资企业合伙人和天使投资个人</w:t>
      </w:r>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【优惠内容】</w:t>
      </w:r>
      <w:r>
        <w:rPr>
          <w:rFonts w:hint="eastAsia" w:asciiTheme="minorEastAsia" w:hAnsiTheme="minorEastAsia" w:eastAsiaTheme="minorEastAsia" w:cstheme="minorEastAsia"/>
          <w:color w:val="000000"/>
          <w:sz w:val="28"/>
          <w:szCs w:val="28"/>
          <w:lang w:val="en-US" w:bidi="ar-SA"/>
        </w:rPr>
        <w:drawing>
          <wp:anchor distT="0" distB="0" distL="114300" distR="114300" simplePos="0" relativeHeight="251659264" behindDoc="1" locked="0" layoutInCell="1" allowOverlap="1">
            <wp:simplePos x="0" y="0"/>
            <wp:positionH relativeFrom="margin">
              <wp:posOffset>-8985885</wp:posOffset>
            </wp:positionH>
            <wp:positionV relativeFrom="page">
              <wp:posOffset>-317500</wp:posOffset>
            </wp:positionV>
            <wp:extent cx="7740650" cy="11050270"/>
            <wp:effectExtent l="0" t="0" r="12700" b="17780"/>
            <wp:wrapNone/>
            <wp:docPr id="1" name="image10.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image10.png"/>
                    <pic:cNvPicPr>
                      <a:picLocks noChangeAspect="true"/>
                    </pic:cNvPicPr>
                  </pic:nvPicPr>
                  <pic:blipFill>
                    <a:blip r:embed="rId13"/>
                    <a:stretch>
                      <a:fillRect/>
                    </a:stretch>
                  </pic:blipFill>
                  <pic:spPr>
                    <a:xfrm>
                      <a:off x="0" y="0"/>
                      <a:ext cx="7740650" cy="11050270"/>
                    </a:xfrm>
                    <a:prstGeom prst="rect">
                      <a:avLst/>
                    </a:prstGeom>
                    <a:noFill/>
                    <a:ln>
                      <a:noFill/>
                    </a:ln>
                  </pic:spPr>
                </pic:pic>
              </a:graphicData>
            </a:graphic>
          </wp:anchor>
        </w:drawing>
      </w:r>
    </w:p>
    <w:p>
      <w:pPr>
        <w:pStyle w:val="8"/>
        <w:keepNext w:val="0"/>
        <w:keepLines w:val="0"/>
        <w:pageBreakBefore w:val="0"/>
        <w:widowControl w:val="0"/>
        <w:kinsoku/>
        <w:wordWrap/>
        <w:overflowPunct/>
        <w:topLinePunct w:val="0"/>
        <w:bidi w:val="0"/>
        <w:adjustRightInd/>
        <w:snapToGrid/>
        <w:spacing w:line="600" w:lineRule="exact"/>
        <w:ind w:left="0" w:right="142"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lang w:val="en-US"/>
        </w:rPr>
        <w:t>公司制创业投资企业采取股权投资方式直接投资于种子期、初创期科技型企业（以下简称初创科技型企业）满2年（24个月，下同）的，可以按照投资额的70%在股权持有满2年的当年抵扣该公司制创业投资企业的应纳税所得额；当年不足抵扣的，可以在以后纳税年度结转抵扣。</w:t>
      </w:r>
    </w:p>
    <w:p>
      <w:pPr>
        <w:pStyle w:val="8"/>
        <w:keepNext w:val="0"/>
        <w:keepLines w:val="0"/>
        <w:pageBreakBefore w:val="0"/>
        <w:widowControl w:val="0"/>
        <w:kinsoku/>
        <w:wordWrap/>
        <w:overflowPunct/>
        <w:topLinePunct w:val="0"/>
        <w:bidi w:val="0"/>
        <w:adjustRightInd/>
        <w:snapToGrid/>
        <w:spacing w:line="600" w:lineRule="exact"/>
        <w:ind w:left="0" w:right="142"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2.</w:t>
      </w:r>
      <w:r>
        <w:rPr>
          <w:rFonts w:hint="eastAsia" w:asciiTheme="minorEastAsia" w:hAnsiTheme="minorEastAsia" w:eastAsiaTheme="minorEastAsia" w:cstheme="minorEastAsia"/>
          <w:color w:val="000000"/>
          <w:sz w:val="28"/>
          <w:szCs w:val="28"/>
          <w:lang w:val="en-US"/>
        </w:rPr>
        <w:t>有限合伙制创业投资企业（以下简称合伙创投企业）采取股权投资方式直接投资于初创科技型企业满2年的，该合伙创投企业的合伙人分别按以下方式处理：</w:t>
      </w:r>
    </w:p>
    <w:p>
      <w:pPr>
        <w:pStyle w:val="8"/>
        <w:keepNext w:val="0"/>
        <w:keepLines w:val="0"/>
        <w:pageBreakBefore w:val="0"/>
        <w:widowControl w:val="0"/>
        <w:kinsoku/>
        <w:wordWrap/>
        <w:overflowPunct/>
        <w:topLinePunct w:val="0"/>
        <w:bidi w:val="0"/>
        <w:adjustRightInd/>
        <w:snapToGrid/>
        <w:spacing w:line="600" w:lineRule="exact"/>
        <w:ind w:left="0" w:right="142"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lang w:val="en-US"/>
        </w:rPr>
        <w:t>法人合伙人可以按照对初创科技型企业投资额的70%抵扣法人合伙人从合伙创投企业分得的所得；当年不足抵扣的，可以在以后纳税年度结转抵扣。</w:t>
      </w:r>
    </w:p>
    <w:p>
      <w:pPr>
        <w:pStyle w:val="8"/>
        <w:keepNext w:val="0"/>
        <w:keepLines w:val="0"/>
        <w:pageBreakBefore w:val="0"/>
        <w:widowControl w:val="0"/>
        <w:kinsoku/>
        <w:wordWrap/>
        <w:overflowPunct/>
        <w:topLinePunct w:val="0"/>
        <w:bidi w:val="0"/>
        <w:adjustRightInd/>
        <w:snapToGrid/>
        <w:spacing w:line="600" w:lineRule="exact"/>
        <w:ind w:left="0" w:right="142"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eastAsia="zh-CN"/>
        </w:rPr>
        <w:t>（2）</w:t>
      </w:r>
      <w:r>
        <w:rPr>
          <w:rFonts w:hint="eastAsia" w:asciiTheme="minorEastAsia" w:hAnsiTheme="minorEastAsia" w:eastAsiaTheme="minorEastAsia" w:cstheme="minorEastAsia"/>
          <w:color w:val="000000"/>
          <w:sz w:val="28"/>
          <w:szCs w:val="28"/>
          <w:lang w:val="en-US"/>
        </w:rPr>
        <w:t>个人合伙人可以按照对初创科技型企业投资额的70%抵扣个人合伙人从合伙创投企业分得的经营所得；当年不足抵扣的，可以在以后纳税年度结转抵扣。</w:t>
      </w:r>
    </w:p>
    <w:p>
      <w:pPr>
        <w:pStyle w:val="8"/>
        <w:keepNext w:val="0"/>
        <w:keepLines w:val="0"/>
        <w:pageBreakBefore w:val="0"/>
        <w:widowControl w:val="0"/>
        <w:kinsoku/>
        <w:wordWrap/>
        <w:overflowPunct/>
        <w:topLinePunct w:val="0"/>
        <w:bidi w:val="0"/>
        <w:adjustRightInd/>
        <w:snapToGrid/>
        <w:spacing w:line="600" w:lineRule="exact"/>
        <w:ind w:left="0" w:right="142" w:firstLine="560" w:firstLineChars="200"/>
        <w:jc w:val="both"/>
        <w:textAlignment w:val="auto"/>
        <w:outlineLvl w:val="2"/>
        <w:rPr>
          <w:rFonts w:hint="eastAsia" w:asciiTheme="minorEastAsia" w:hAnsiTheme="minorEastAsia" w:eastAsiaTheme="minorEastAsia" w:cstheme="minorEastAsia"/>
          <w:color w:val="auto"/>
          <w:sz w:val="28"/>
          <w:szCs w:val="28"/>
          <w:lang w:val="en-US"/>
        </w:rPr>
      </w:pP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lang w:val="en-US"/>
        </w:rPr>
        <w:t>天使投资个人采取股权投资方式直接投资于初创科技型企业满2年的，可以按照投资额的70%抵扣转让该初创科技型企业股权取得的应纳税所得额；当期不足抵扣的，可以在以后取得转让该初创科技型企业股权的应纳税所得额时结转抵扣。</w:t>
      </w:r>
    </w:p>
    <w:p>
      <w:pPr>
        <w:pStyle w:val="8"/>
        <w:keepNext w:val="0"/>
        <w:keepLines w:val="0"/>
        <w:pageBreakBefore w:val="0"/>
        <w:widowControl w:val="0"/>
        <w:kinsoku/>
        <w:wordWrap/>
        <w:overflowPunct/>
        <w:topLinePunct w:val="0"/>
        <w:bidi w:val="0"/>
        <w:adjustRightInd/>
        <w:snapToGrid/>
        <w:spacing w:line="600" w:lineRule="exact"/>
        <w:ind w:left="0" w:right="142"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天使投资个人投资多个初创科技型企业的，对其中办理注销清算的初创科技型企业，天使投资个人对其投资额的70%尚未抵扣完的，可自注销清算之日起36个月内抵扣天使投资个人转让其他初创科技型企业股权取得的应纳税所得额。</w:t>
      </w:r>
    </w:p>
    <w:p>
      <w:pPr>
        <w:keepNext w:val="0"/>
        <w:keepLines w:val="0"/>
        <w:pageBreakBefore w:val="0"/>
        <w:widowControl w:val="0"/>
        <w:kinsoku/>
        <w:wordWrap/>
        <w:overflowPunct/>
        <w:topLinePunct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p>
    <w:p>
      <w:pPr>
        <w:keepNext w:val="0"/>
        <w:keepLines w:val="0"/>
        <w:pageBreakBefore w:val="0"/>
        <w:widowControl w:val="0"/>
        <w:tabs>
          <w:tab w:val="left" w:pos="1646"/>
        </w:tabs>
        <w:kinsoku/>
        <w:wordWrap/>
        <w:overflowPunct/>
        <w:topLinePunct w:val="0"/>
        <w:bidi w:val="0"/>
        <w:adjustRightInd/>
        <w:snapToGrid/>
        <w:spacing w:line="600" w:lineRule="exact"/>
        <w:ind w:right="301"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1.初创科技型企业，应同时符合以下条件：</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（1）在中国境内（不包括港、澳、台地区）注册成立、实行查账征收的居民企业；</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（2）接受投资时，从业人数不超过300人，其中具有大学本科以上学历的从业人数不低于30%；资产总额和年销售收入均不超过5000万元；</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（3）接受投资时设立时间不超过5年（60个月）；</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（4）接受投资时以及接受投资后2年内未在境内外证券交易所上市；</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（5）接受投资当年及下一纳税年度，研发费用总额占成本费用支出的比例不低于20%。</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xml:space="preserve">    2.创业投资企业，应同时符合以下条件：</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（1）在中国境内（不含港、澳、台地区）注册成</w:t>
      </w:r>
      <w:r>
        <w:rPr>
          <w:rFonts w:hint="eastAsia" w:asciiTheme="minorEastAsia" w:hAnsiTheme="minorEastAsia" w:eastAsiaTheme="minorEastAsia" w:cstheme="minorEastAsia"/>
          <w:color w:val="auto"/>
          <w:sz w:val="28"/>
          <w:szCs w:val="28"/>
          <w:lang w:val="en-US"/>
        </w:rPr>
        <w:t>立、实行查账征收</w:t>
      </w:r>
      <w:r>
        <w:rPr>
          <w:rFonts w:hint="eastAsia" w:asciiTheme="minorEastAsia" w:hAnsiTheme="minorEastAsia" w:eastAsiaTheme="minorEastAsia" w:cstheme="minorEastAsia"/>
          <w:color w:val="000000"/>
          <w:sz w:val="28"/>
          <w:szCs w:val="28"/>
          <w:lang w:val="en-US"/>
        </w:rPr>
        <w:t>的居民企业或合伙创投企业，且不属于被投资初创科型企业的发起人；</w:t>
      </w:r>
    </w:p>
    <w:p>
      <w:pPr>
        <w:keepNext w:val="0"/>
        <w:keepLines w:val="0"/>
        <w:pageBreakBefore w:val="0"/>
        <w:widowControl w:val="0"/>
        <w:tabs>
          <w:tab w:val="left" w:pos="1646"/>
        </w:tabs>
        <w:kinsoku/>
        <w:wordWrap/>
        <w:overflowPunct/>
        <w:topLinePunct w:val="0"/>
        <w:bidi w:val="0"/>
        <w:adjustRightInd/>
        <w:snapToGrid/>
        <w:spacing w:line="600" w:lineRule="exact"/>
        <w:ind w:right="301"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（2）符合《创业投资企业管理暂行办法》（发展改革委等10部门令第39号）规定或者《私募投资基金监督管理暂行办法》（证监会令第105号）关于创业投资基金的特别规定，按照上述规定完成备案且规范运作；</w:t>
      </w:r>
    </w:p>
    <w:p>
      <w:pPr>
        <w:keepNext w:val="0"/>
        <w:keepLines w:val="0"/>
        <w:pageBreakBefore w:val="0"/>
        <w:widowControl w:val="0"/>
        <w:tabs>
          <w:tab w:val="left" w:pos="1646"/>
        </w:tabs>
        <w:kinsoku/>
        <w:wordWrap/>
        <w:overflowPunct/>
        <w:topLinePunct w:val="0"/>
        <w:bidi w:val="0"/>
        <w:adjustRightInd/>
        <w:snapToGrid/>
        <w:spacing w:line="600" w:lineRule="exact"/>
        <w:ind w:right="301"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（3）投资后2年内，创业投资企业及其关联方持有被投资初创科技型企业的股权比例合计应低于50%。</w:t>
      </w:r>
    </w:p>
    <w:p>
      <w:pPr>
        <w:keepNext w:val="0"/>
        <w:keepLines w:val="0"/>
        <w:pageBreakBefore w:val="0"/>
        <w:widowControl w:val="0"/>
        <w:tabs>
          <w:tab w:val="left" w:pos="1646"/>
        </w:tabs>
        <w:kinsoku/>
        <w:wordWrap/>
        <w:overflowPunct/>
        <w:topLinePunct w:val="0"/>
        <w:bidi w:val="0"/>
        <w:adjustRightInd/>
        <w:snapToGrid/>
        <w:spacing w:line="600" w:lineRule="exact"/>
        <w:ind w:right="301"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3.天使投资个人，应同时符合以下条件：</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（1）不属于被投资初创科技型企业的发起人、雇员或其亲属（包括配偶、父母、子女、祖父母、外祖父母、孙子女、外孙子女、兄弟姐妹，下同），且与被投资初创科技型企业不存在劳务派遣等关系；</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（2）投资后2年内，本人及其亲属持有被投资初创科技型企业股权比例合计应低于50%。</w:t>
      </w:r>
      <w:r>
        <w:rPr>
          <w:rFonts w:hint="eastAsia" w:asciiTheme="minorEastAsia" w:hAnsiTheme="minorEastAsia" w:eastAsiaTheme="minorEastAsia" w:cstheme="minorEastAsia"/>
          <w:color w:val="000000"/>
          <w:sz w:val="28"/>
          <w:szCs w:val="28"/>
          <w:lang w:val="en-US"/>
        </w:rPr>
        <w:br w:type="textWrapping"/>
      </w:r>
      <w:r>
        <w:rPr>
          <w:rFonts w:hint="eastAsia" w:asciiTheme="minorEastAsia" w:hAnsiTheme="minorEastAsia" w:eastAsiaTheme="minorEastAsia" w:cstheme="minorEastAsia"/>
          <w:color w:val="000000"/>
          <w:sz w:val="28"/>
          <w:szCs w:val="28"/>
          <w:lang w:val="en-US"/>
        </w:rPr>
        <w:t>　　4.享受</w:t>
      </w:r>
      <w:r>
        <w:rPr>
          <w:rFonts w:hint="eastAsia" w:asciiTheme="minorEastAsia" w:hAnsiTheme="minorEastAsia" w:eastAsiaTheme="minorEastAsia" w:cstheme="minorEastAsia"/>
          <w:color w:val="000000"/>
          <w:sz w:val="28"/>
          <w:szCs w:val="28"/>
          <w:lang w:val="en-US" w:eastAsia="zh-CN"/>
        </w:rPr>
        <w:t>本</w:t>
      </w:r>
      <w:r>
        <w:rPr>
          <w:rFonts w:hint="eastAsia" w:asciiTheme="minorEastAsia" w:hAnsiTheme="minorEastAsia" w:eastAsiaTheme="minorEastAsia" w:cstheme="minorEastAsia"/>
          <w:color w:val="000000"/>
          <w:sz w:val="28"/>
          <w:szCs w:val="28"/>
          <w:lang w:val="en-US"/>
        </w:rPr>
        <w:t>政策的投资，仅限于通过向被投资初创科技型企业直接支付现金方式取得的股权投资，不包括受让其他股东的存量股权。</w:t>
      </w:r>
    </w:p>
    <w:p>
      <w:pPr>
        <w:keepNext w:val="0"/>
        <w:keepLines w:val="0"/>
        <w:pageBreakBefore w:val="0"/>
        <w:widowControl w:val="0"/>
        <w:tabs>
          <w:tab w:val="left" w:pos="1646"/>
        </w:tabs>
        <w:kinsoku/>
        <w:wordWrap/>
        <w:overflowPunct/>
        <w:topLinePunct w:val="0"/>
        <w:autoSpaceDE w:val="0"/>
        <w:autoSpaceDN w:val="0"/>
        <w:bidi w:val="0"/>
        <w:adjustRightInd/>
        <w:snapToGrid/>
        <w:spacing w:line="600" w:lineRule="exact"/>
        <w:ind w:right="301" w:firstLine="560" w:firstLineChars="200"/>
        <w:jc w:val="both"/>
        <w:textAlignment w:val="auto"/>
        <w:outlineLvl w:val="2"/>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color w:val="000000"/>
          <w:sz w:val="28"/>
          <w:szCs w:val="28"/>
          <w:lang w:val="en-US" w:eastAsia="zh-CN"/>
        </w:rPr>
        <w:t>5.自2019年1月1日至2023年12月31日期间已投资满2年及新发生的投资，可按</w:t>
      </w:r>
      <w:r>
        <w:rPr>
          <w:rFonts w:hint="eastAsia" w:asciiTheme="minorEastAsia" w:hAnsiTheme="minorEastAsia" w:eastAsiaTheme="minorEastAsia" w:cstheme="minorEastAsia"/>
          <w:color w:val="000000"/>
          <w:sz w:val="28"/>
          <w:szCs w:val="28"/>
          <w:lang w:val="en-US"/>
        </w:rPr>
        <w:t>《财政部 税务总局关于创业投资企业和天使投资个人有关税收政策的通知》（财税〔2018〕55号）</w:t>
      </w:r>
      <w:r>
        <w:rPr>
          <w:rFonts w:hint="eastAsia" w:asciiTheme="minorEastAsia" w:hAnsiTheme="minorEastAsia" w:eastAsiaTheme="minorEastAsia" w:cstheme="minorEastAsia"/>
          <w:color w:val="000000"/>
          <w:sz w:val="28"/>
          <w:szCs w:val="28"/>
          <w:lang w:val="en-US" w:eastAsia="zh-CN"/>
        </w:rPr>
        <w:t>和</w:t>
      </w:r>
      <w:r>
        <w:rPr>
          <w:rFonts w:hint="eastAsia" w:asciiTheme="minorEastAsia" w:hAnsiTheme="minorEastAsia" w:eastAsiaTheme="minorEastAsia" w:cstheme="minorEastAsia"/>
          <w:color w:val="000000"/>
          <w:sz w:val="28"/>
          <w:szCs w:val="28"/>
          <w:lang w:val="en-US"/>
        </w:rPr>
        <w:t>《财政部 税务总局关于实施小微企业普惠性税收减免政策的通知》（财税〔2019〕13号）</w:t>
      </w:r>
      <w:r>
        <w:rPr>
          <w:rFonts w:hint="eastAsia" w:asciiTheme="minorEastAsia" w:hAnsiTheme="minorEastAsia" w:eastAsiaTheme="minorEastAsia" w:cstheme="minorEastAsia"/>
          <w:color w:val="000000"/>
          <w:sz w:val="28"/>
          <w:szCs w:val="28"/>
          <w:lang w:val="en-US" w:eastAsia="zh-CN"/>
        </w:rPr>
        <w:t>以及</w:t>
      </w:r>
      <w:r>
        <w:rPr>
          <w:rFonts w:hint="eastAsia" w:asciiTheme="minorEastAsia" w:hAnsiTheme="minorEastAsia" w:eastAsiaTheme="minorEastAsia" w:cstheme="minorEastAsia"/>
          <w:color w:val="000000"/>
          <w:sz w:val="28"/>
          <w:szCs w:val="28"/>
          <w:lang w:val="en-US"/>
        </w:rPr>
        <w:t xml:space="preserve">《财政部 税务总局关于延续执行创业投资企业和天使投资个人投资初创科技型企业有关政策条件的公告》(2022年第6号) </w:t>
      </w:r>
      <w:r>
        <w:rPr>
          <w:rFonts w:hint="eastAsia" w:asciiTheme="minorEastAsia" w:hAnsiTheme="minorEastAsia" w:eastAsiaTheme="minorEastAsia" w:cstheme="minorEastAsia"/>
          <w:color w:val="000000"/>
          <w:sz w:val="28"/>
          <w:szCs w:val="28"/>
          <w:lang w:val="en-US" w:eastAsia="zh-CN"/>
        </w:rPr>
        <w:t>规定适用税收</w:t>
      </w:r>
      <w:r>
        <w:rPr>
          <w:rFonts w:hint="eastAsia" w:asciiTheme="minorEastAsia" w:hAnsiTheme="minorEastAsia" w:eastAsiaTheme="minorEastAsia" w:cstheme="minorEastAsia"/>
          <w:color w:val="auto"/>
          <w:sz w:val="28"/>
          <w:szCs w:val="28"/>
          <w:lang w:val="en-US" w:eastAsia="zh-CN"/>
        </w:rPr>
        <w:t>政策。</w:t>
      </w:r>
    </w:p>
    <w:p>
      <w:pPr>
        <w:keepNext w:val="0"/>
        <w:keepLines w:val="0"/>
        <w:pageBreakBefore w:val="0"/>
        <w:widowControl w:val="0"/>
        <w:kinsoku/>
        <w:wordWrap/>
        <w:overflowPunct/>
        <w:topLinePunct w:val="0"/>
        <w:autoSpaceDE w:val="0"/>
        <w:autoSpaceDN w:val="0"/>
        <w:bidi w:val="0"/>
        <w:adjustRightInd/>
        <w:snapToGrid w:val="0"/>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【政策依据】</w:t>
      </w:r>
    </w:p>
    <w:p>
      <w:pPr>
        <w:pStyle w:val="29"/>
        <w:keepNext w:val="0"/>
        <w:keepLines w:val="0"/>
        <w:pageBreakBefore w:val="0"/>
        <w:widowControl w:val="0"/>
        <w:tabs>
          <w:tab w:val="left" w:pos="1485"/>
        </w:tabs>
        <w:kinsoku/>
        <w:wordWrap/>
        <w:overflowPunct/>
        <w:topLinePunct w:val="0"/>
        <w:autoSpaceDE w:val="0"/>
        <w:autoSpaceDN w:val="0"/>
        <w:bidi w:val="0"/>
        <w:adjustRightInd/>
        <w:snapToGrid w:val="0"/>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pacing w:val="0"/>
          <w:w w:val="100"/>
          <w:sz w:val="28"/>
          <w:szCs w:val="28"/>
          <w:lang w:val="en-US"/>
        </w:rPr>
        <w:t>1.</w:t>
      </w:r>
      <w:r>
        <w:rPr>
          <w:rFonts w:hint="eastAsia" w:asciiTheme="minorEastAsia" w:hAnsiTheme="minorEastAsia" w:eastAsiaTheme="minorEastAsia" w:cstheme="minorEastAsia"/>
          <w:color w:val="000000"/>
          <w:sz w:val="28"/>
          <w:szCs w:val="28"/>
          <w:lang w:val="en-US"/>
        </w:rPr>
        <w:t>《财政部 税务总局关于延续执行创业投资企业</w:t>
      </w:r>
      <w:r>
        <w:rPr>
          <w:rFonts w:hint="eastAsia" w:asciiTheme="minorEastAsia" w:hAnsiTheme="minorEastAsia" w:eastAsiaTheme="minorEastAsia" w:cstheme="minorEastAsia"/>
          <w:color w:val="auto"/>
          <w:sz w:val="28"/>
          <w:szCs w:val="28"/>
          <w:lang w:val="en-US"/>
        </w:rPr>
        <w:t>和天使投资个人投</w:t>
      </w:r>
      <w:r>
        <w:rPr>
          <w:rFonts w:hint="eastAsia" w:asciiTheme="minorEastAsia" w:hAnsiTheme="minorEastAsia" w:eastAsiaTheme="minorEastAsia" w:cstheme="minorEastAsia"/>
          <w:color w:val="000000"/>
          <w:sz w:val="28"/>
          <w:szCs w:val="28"/>
          <w:lang w:val="en-US"/>
        </w:rPr>
        <w:t>资初创科技型企业有关政策条件的公告》(2022年第6号)</w:t>
      </w:r>
      <w:r>
        <w:rPr>
          <w:rFonts w:hint="eastAsia" w:asciiTheme="minorEastAsia" w:hAnsiTheme="minorEastAsia" w:eastAsiaTheme="minorEastAsia" w:cstheme="minorEastAsia"/>
          <w:color w:val="000000"/>
          <w:sz w:val="28"/>
          <w:szCs w:val="28"/>
        </w:rPr>
        <w:t xml:space="preserve"> </w:t>
      </w:r>
    </w:p>
    <w:p>
      <w:pPr>
        <w:pStyle w:val="29"/>
        <w:keepNext w:val="0"/>
        <w:keepLines w:val="0"/>
        <w:pageBreakBefore w:val="0"/>
        <w:widowControl w:val="0"/>
        <w:tabs>
          <w:tab w:val="left" w:pos="1485"/>
        </w:tabs>
        <w:kinsoku/>
        <w:wordWrap/>
        <w:overflowPunct/>
        <w:topLinePunct w:val="0"/>
        <w:autoSpaceDE w:val="0"/>
        <w:autoSpaceDN w:val="0"/>
        <w:bidi w:val="0"/>
        <w:adjustRightInd/>
        <w:snapToGrid/>
        <w:spacing w:line="600" w:lineRule="exact"/>
        <w:ind w:left="0" w:firstLine="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 xml:space="preserve">    2.《财政部 税务总局关于实施小微企业普惠性税收减免政策的通知》（财税〔2019〕13号）</w:t>
      </w:r>
    </w:p>
    <w:p>
      <w:pPr>
        <w:pStyle w:val="29"/>
        <w:keepNext w:val="0"/>
        <w:keepLines w:val="0"/>
        <w:pageBreakBefore w:val="0"/>
        <w:widowControl w:val="0"/>
        <w:tabs>
          <w:tab w:val="left" w:pos="1485"/>
        </w:tabs>
        <w:kinsoku/>
        <w:wordWrap/>
        <w:overflowPunct/>
        <w:topLinePunct w:val="0"/>
        <w:autoSpaceDE w:val="0"/>
        <w:autoSpaceDN w:val="0"/>
        <w:bidi w:val="0"/>
        <w:adjustRightInd/>
        <w:snapToGrid/>
        <w:spacing w:line="600" w:lineRule="exact"/>
        <w:ind w:left="0" w:firstLineChars="200"/>
        <w:jc w:val="both"/>
        <w:textAlignment w:val="auto"/>
        <w:outlineLvl w:val="2"/>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sz w:val="28"/>
          <w:szCs w:val="28"/>
          <w:lang w:val="en-US"/>
        </w:rPr>
        <w:t>3.《财政部 税务总局关于创业投资企业和天使投资个人有关税收政策的通知》（财税〔2018〕55号）</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leftChars="0" w:firstLine="562" w:firstLineChars="200"/>
        <w:jc w:val="both"/>
        <w:textAlignment w:val="auto"/>
        <w:outlineLvl w:val="1"/>
        <w:rPr>
          <w:rFonts w:hint="eastAsia" w:asciiTheme="minorEastAsia" w:hAnsiTheme="minorEastAsia" w:eastAsiaTheme="minorEastAsia" w:cstheme="minorEastAsia"/>
          <w:b/>
          <w:bCs/>
          <w:i w:val="0"/>
          <w:iCs w:val="0"/>
          <w:caps w:val="0"/>
          <w:color w:val="auto"/>
          <w:spacing w:val="0"/>
          <w:sz w:val="28"/>
          <w:szCs w:val="28"/>
          <w:shd w:val="clear" w:color="auto" w:fill="FFFFFF"/>
        </w:rPr>
      </w:pPr>
      <w:bookmarkStart w:id="537" w:name="_Toc536642269"/>
      <w:bookmarkStart w:id="538" w:name="_Toc912683552"/>
      <w:bookmarkStart w:id="539" w:name="_Toc1062453109"/>
      <w:bookmarkStart w:id="540" w:name="_Toc1576885507"/>
      <w:bookmarkStart w:id="541" w:name="_Toc648"/>
      <w:r>
        <w:rPr>
          <w:rFonts w:hint="eastAsia" w:asciiTheme="minorEastAsia" w:hAnsiTheme="minorEastAsia" w:eastAsiaTheme="minorEastAsia" w:cstheme="minorEastAsia"/>
          <w:b/>
          <w:bCs/>
          <w:color w:val="auto"/>
          <w:sz w:val="28"/>
          <w:szCs w:val="28"/>
          <w:lang w:val="en-US" w:eastAsia="zh-CN"/>
        </w:rPr>
        <w:t>（二十九）</w:t>
      </w:r>
      <w:r>
        <w:rPr>
          <w:rFonts w:hint="eastAsia" w:asciiTheme="minorEastAsia" w:hAnsiTheme="minorEastAsia" w:eastAsiaTheme="minorEastAsia" w:cstheme="minorEastAsia"/>
          <w:b/>
          <w:bCs/>
          <w:i w:val="0"/>
          <w:iCs w:val="0"/>
          <w:caps w:val="0"/>
          <w:color w:val="auto"/>
          <w:spacing w:val="0"/>
          <w:sz w:val="28"/>
          <w:szCs w:val="28"/>
          <w:shd w:val="clear" w:color="auto" w:fill="FFFFFF"/>
        </w:rPr>
        <w:t>全年一次性奖金个人所得税优惠政策</w:t>
      </w:r>
      <w:bookmarkEnd w:id="537"/>
      <w:bookmarkEnd w:id="538"/>
      <w:bookmarkEnd w:id="539"/>
      <w:bookmarkEnd w:id="540"/>
      <w:bookmarkEnd w:id="541"/>
    </w:p>
    <w:p>
      <w:pPr>
        <w:pStyle w:val="29"/>
        <w:keepNext w:val="0"/>
        <w:keepLines w:val="0"/>
        <w:pageBreakBefore w:val="0"/>
        <w:widowControl w:val="0"/>
        <w:tabs>
          <w:tab w:val="left" w:pos="1485"/>
        </w:tabs>
        <w:kinsoku/>
        <w:wordWrap/>
        <w:overflowPunct/>
        <w:topLinePunct w:val="0"/>
        <w:bidi w:val="0"/>
        <w:adjustRightInd/>
        <w:snapToGrid/>
        <w:spacing w:line="600" w:lineRule="exact"/>
        <w:ind w:left="0" w:firstLine="562" w:firstLineChars="200"/>
        <w:jc w:val="both"/>
        <w:textAlignment w:val="auto"/>
        <w:outlineLvl w:val="2"/>
        <w:rPr>
          <w:rFonts w:hint="eastAsia" w:asciiTheme="minorEastAsia" w:hAnsiTheme="minorEastAsia" w:eastAsiaTheme="minorEastAsia" w:cstheme="minorEastAsia"/>
          <w:b/>
          <w:bCs/>
          <w:color w:val="000000"/>
          <w:sz w:val="28"/>
          <w:szCs w:val="28"/>
          <w:lang w:val="en-US"/>
        </w:rPr>
      </w:pPr>
      <w:r>
        <w:rPr>
          <w:rFonts w:hint="eastAsia" w:asciiTheme="minorEastAsia" w:hAnsiTheme="minorEastAsia" w:eastAsiaTheme="minorEastAsia" w:cstheme="minorEastAsia"/>
          <w:b/>
          <w:bCs/>
          <w:color w:val="000000"/>
          <w:sz w:val="28"/>
          <w:szCs w:val="28"/>
          <w:lang w:val="en-US"/>
        </w:rPr>
        <w:t>【享受主体】</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leftChars="0"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居民个人</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firstLine="562" w:firstLineChars="200"/>
        <w:jc w:val="both"/>
        <w:textAlignment w:val="auto"/>
        <w:outlineLvl w:val="2"/>
        <w:rPr>
          <w:rFonts w:hint="eastAsia" w:asciiTheme="minorEastAsia" w:hAnsiTheme="minorEastAsia" w:eastAsiaTheme="minorEastAsia" w:cstheme="minorEastAsia"/>
          <w:b/>
          <w:bCs/>
          <w:color w:val="000000"/>
          <w:sz w:val="28"/>
          <w:szCs w:val="28"/>
          <w:lang w:val="en-US"/>
        </w:rPr>
      </w:pPr>
      <w:r>
        <w:rPr>
          <w:rFonts w:hint="eastAsia" w:asciiTheme="minorEastAsia" w:hAnsiTheme="minorEastAsia" w:eastAsiaTheme="minorEastAsia" w:cstheme="minorEastAsia"/>
          <w:b/>
          <w:bCs/>
          <w:color w:val="000000"/>
          <w:sz w:val="28"/>
          <w:szCs w:val="28"/>
          <w:lang w:val="en-US"/>
        </w:rPr>
        <w:t>【优惠内容】</w:t>
      </w:r>
    </w:p>
    <w:p>
      <w:pPr>
        <w:pStyle w:val="29"/>
        <w:keepNext w:val="0"/>
        <w:keepLines w:val="0"/>
        <w:pageBreakBefore w:val="0"/>
        <w:widowControl w:val="0"/>
        <w:numPr>
          <w:ilvl w:val="0"/>
          <w:numId w:val="0"/>
        </w:numPr>
        <w:tabs>
          <w:tab w:val="left" w:pos="1485"/>
        </w:tabs>
        <w:kinsoku/>
        <w:wordWrap/>
        <w:overflowPunct/>
        <w:topLinePunct w:val="0"/>
        <w:bidi w:val="0"/>
        <w:adjustRightInd/>
        <w:snapToGrid/>
        <w:spacing w:line="600" w:lineRule="exact"/>
        <w:ind w:left="0" w:leftChars="0"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居民个人取得全年一次性奖金，在2023年12月31日前，不并入当年综合所得，以全年一次性奖金收入除以12个月得到的数额，按照按月换算后的综合所得税率表，确定适用税率和速算扣除数，单独计算纳税。计算公式为：应纳税额＝全年一次性奖金收入×适用税率－速算扣除数</w:t>
      </w:r>
    </w:p>
    <w:p>
      <w:pPr>
        <w:pStyle w:val="29"/>
        <w:keepNext w:val="0"/>
        <w:keepLines w:val="0"/>
        <w:pageBreakBefore w:val="0"/>
        <w:widowControl w:val="0"/>
        <w:numPr>
          <w:ilvl w:val="0"/>
          <w:numId w:val="0"/>
        </w:numPr>
        <w:tabs>
          <w:tab w:val="left" w:pos="1485"/>
        </w:tabs>
        <w:kinsoku/>
        <w:wordWrap/>
        <w:overflowPunct/>
        <w:topLinePunct w:val="0"/>
        <w:bidi w:val="0"/>
        <w:adjustRightInd/>
        <w:snapToGrid/>
        <w:spacing w:line="600" w:lineRule="exact"/>
        <w:ind w:left="0" w:leftChars="0"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居民个人取得全年一次性奖金，也可以选择并入当年综合所得计算纳税。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p>
    <w:p>
      <w:pPr>
        <w:keepNext w:val="0"/>
        <w:keepLines w:val="0"/>
        <w:pageBreakBefore w:val="0"/>
        <w:widowControl w:val="0"/>
        <w:kinsoku/>
        <w:wordWrap/>
        <w:overflowPunct/>
        <w:topLinePunct w:val="0"/>
        <w:autoSpaceDE w:val="0"/>
        <w:autoSpaceDN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bidi="zh-CN"/>
        </w:rPr>
      </w:pPr>
      <w:r>
        <w:rPr>
          <w:rFonts w:hint="eastAsia" w:asciiTheme="minorEastAsia" w:hAnsiTheme="minorEastAsia" w:eastAsiaTheme="minorEastAsia" w:cstheme="minorEastAsia"/>
          <w:color w:val="000000"/>
          <w:sz w:val="28"/>
          <w:szCs w:val="28"/>
          <w:lang w:val="en-US" w:eastAsia="zh-CN" w:bidi="zh-CN"/>
        </w:rPr>
        <w:t>居民个人取得全年一次性奖金，应当符合《</w:t>
      </w:r>
      <w:r>
        <w:rPr>
          <w:rFonts w:hint="eastAsia" w:asciiTheme="minorEastAsia" w:hAnsiTheme="minorEastAsia" w:eastAsiaTheme="minorEastAsia" w:cstheme="minorEastAsia"/>
          <w:color w:val="000000"/>
          <w:sz w:val="28"/>
          <w:szCs w:val="28"/>
          <w:lang w:val="en-US" w:eastAsia="zh-CN" w:bidi="zh-CN"/>
        </w:rPr>
        <w:fldChar w:fldCharType="begin"/>
      </w:r>
      <w:r>
        <w:rPr>
          <w:rFonts w:hint="eastAsia" w:asciiTheme="minorEastAsia" w:hAnsiTheme="minorEastAsia" w:eastAsiaTheme="minorEastAsia" w:cstheme="minorEastAsia"/>
          <w:color w:val="000000"/>
          <w:sz w:val="28"/>
          <w:szCs w:val="28"/>
          <w:lang w:val="en-US" w:eastAsia="zh-CN" w:bidi="zh-CN"/>
        </w:rPr>
        <w:instrText xml:space="preserve"> HYPERLINK "https://www.shui5.cn/article/2a/14000.html" </w:instrText>
      </w:r>
      <w:r>
        <w:rPr>
          <w:rFonts w:hint="eastAsia" w:asciiTheme="minorEastAsia" w:hAnsiTheme="minorEastAsia" w:eastAsiaTheme="minorEastAsia" w:cstheme="minorEastAsia"/>
          <w:color w:val="000000"/>
          <w:sz w:val="28"/>
          <w:szCs w:val="28"/>
          <w:lang w:val="en-US" w:eastAsia="zh-CN" w:bidi="zh-CN"/>
        </w:rPr>
        <w:fldChar w:fldCharType="separate"/>
      </w:r>
      <w:r>
        <w:rPr>
          <w:rFonts w:hint="eastAsia" w:asciiTheme="minorEastAsia" w:hAnsiTheme="minorEastAsia" w:eastAsiaTheme="minorEastAsia" w:cstheme="minorEastAsia"/>
          <w:color w:val="000000"/>
          <w:sz w:val="28"/>
          <w:szCs w:val="28"/>
          <w:lang w:val="en-US" w:eastAsia="zh-CN" w:bidi="zh-CN"/>
        </w:rPr>
        <w:t>国家税务总局关于调整个人取得全年一次性奖金等计算征收个人所得税方法问题的通知</w:t>
      </w:r>
      <w:r>
        <w:rPr>
          <w:rFonts w:hint="eastAsia" w:asciiTheme="minorEastAsia" w:hAnsiTheme="minorEastAsia" w:eastAsiaTheme="minorEastAsia" w:cstheme="minorEastAsia"/>
          <w:color w:val="000000"/>
          <w:sz w:val="28"/>
          <w:szCs w:val="28"/>
          <w:lang w:val="en-US" w:eastAsia="zh-CN" w:bidi="zh-CN"/>
        </w:rPr>
        <w:fldChar w:fldCharType="end"/>
      </w:r>
      <w:r>
        <w:rPr>
          <w:rFonts w:hint="eastAsia" w:asciiTheme="minorEastAsia" w:hAnsiTheme="minorEastAsia" w:eastAsiaTheme="minorEastAsia" w:cstheme="minorEastAsia"/>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fldChar w:fldCharType="begin"/>
      </w:r>
      <w:r>
        <w:rPr>
          <w:rFonts w:hint="eastAsia" w:asciiTheme="minorEastAsia" w:hAnsiTheme="minorEastAsia" w:eastAsiaTheme="minorEastAsia" w:cstheme="minorEastAsia"/>
          <w:color w:val="000000"/>
          <w:sz w:val="28"/>
          <w:szCs w:val="28"/>
          <w:lang w:val="en-US" w:eastAsia="zh-CN" w:bidi="zh-CN"/>
        </w:rPr>
        <w:instrText xml:space="preserve"> HYPERLINK "https://www.shui5.cn/article/2a/14000.html" </w:instrText>
      </w:r>
      <w:r>
        <w:rPr>
          <w:rFonts w:hint="eastAsia" w:asciiTheme="minorEastAsia" w:hAnsiTheme="minorEastAsia" w:eastAsiaTheme="minorEastAsia" w:cstheme="minorEastAsia"/>
          <w:color w:val="000000"/>
          <w:sz w:val="28"/>
          <w:szCs w:val="28"/>
          <w:lang w:val="en-US" w:eastAsia="zh-CN" w:bidi="zh-CN"/>
        </w:rPr>
        <w:fldChar w:fldCharType="separate"/>
      </w:r>
      <w:r>
        <w:rPr>
          <w:rFonts w:hint="eastAsia" w:asciiTheme="minorEastAsia" w:hAnsiTheme="minorEastAsia" w:eastAsiaTheme="minorEastAsia" w:cstheme="minorEastAsia"/>
          <w:color w:val="000000"/>
          <w:sz w:val="28"/>
          <w:szCs w:val="28"/>
          <w:lang w:val="en-US" w:eastAsia="zh-CN" w:bidi="zh-CN"/>
        </w:rPr>
        <w:t>国税发</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t>2005</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t>9号</w:t>
      </w:r>
      <w:r>
        <w:rPr>
          <w:rFonts w:hint="eastAsia" w:asciiTheme="minorEastAsia" w:hAnsiTheme="minorEastAsia" w:eastAsiaTheme="minorEastAsia" w:cstheme="minorEastAsia"/>
          <w:color w:val="000000"/>
          <w:sz w:val="28"/>
          <w:szCs w:val="28"/>
          <w:lang w:val="en-US" w:eastAsia="zh-CN" w:bidi="zh-CN"/>
        </w:rPr>
        <w:fldChar w:fldCharType="end"/>
      </w:r>
      <w:r>
        <w:rPr>
          <w:rFonts w:hint="eastAsia" w:asciiTheme="minorEastAsia" w:hAnsiTheme="minorEastAsia" w:eastAsiaTheme="minorEastAsia" w:cstheme="minorEastAsia"/>
          <w:color w:val="000000"/>
          <w:sz w:val="28"/>
          <w:szCs w:val="28"/>
          <w:lang w:val="en-US" w:eastAsia="zh-CN" w:bidi="zh-CN"/>
        </w:rPr>
        <w:t>）规定。</w:t>
      </w:r>
    </w:p>
    <w:p>
      <w:pPr>
        <w:keepNext w:val="0"/>
        <w:keepLines w:val="0"/>
        <w:pageBreakBefore w:val="0"/>
        <w:widowControl w:val="0"/>
        <w:kinsoku/>
        <w:wordWrap/>
        <w:overflowPunct/>
        <w:topLinePunct w:val="0"/>
        <w:autoSpaceDE w:val="0"/>
        <w:autoSpaceDN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eastAsia="zh-CN"/>
        </w:rPr>
        <w:t>【</w:t>
      </w:r>
      <w:r>
        <w:rPr>
          <w:rFonts w:hint="eastAsia" w:asciiTheme="minorEastAsia" w:hAnsiTheme="minorEastAsia" w:eastAsiaTheme="minorEastAsia" w:cstheme="minorEastAsia"/>
          <w:b/>
          <w:color w:val="000000"/>
          <w:sz w:val="28"/>
          <w:szCs w:val="28"/>
          <w:lang w:val="en-US"/>
        </w:rPr>
        <w:t>政策依据】</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adjustRightInd/>
        <w:snapToGrid/>
        <w:spacing w:beforeAutospacing="0" w:after="0" w:afterAutospacing="0" w:line="600" w:lineRule="exact"/>
        <w:ind w:left="0" w:right="0" w:firstLine="0"/>
        <w:jc w:val="left"/>
        <w:textAlignment w:val="auto"/>
        <w:outlineLvl w:val="9"/>
        <w:rPr>
          <w:rFonts w:hint="eastAsia" w:asciiTheme="minorEastAsia" w:hAnsiTheme="minorEastAsia" w:eastAsiaTheme="minorEastAsia" w:cstheme="minorEastAsia"/>
          <w:b w:val="0"/>
          <w:bCs w:val="0"/>
          <w:color w:val="000000"/>
          <w:sz w:val="28"/>
          <w:szCs w:val="28"/>
          <w:lang w:val="en-US" w:eastAsia="zh-CN" w:bidi="zh-CN"/>
        </w:rPr>
      </w:pPr>
      <w:r>
        <w:rPr>
          <w:rFonts w:hint="eastAsia" w:asciiTheme="minorEastAsia" w:hAnsiTheme="minorEastAsia" w:eastAsiaTheme="minorEastAsia" w:cstheme="minorEastAsia"/>
          <w:b w:val="0"/>
          <w:bCs w:val="0"/>
          <w:color w:val="000000"/>
          <w:sz w:val="28"/>
          <w:szCs w:val="28"/>
          <w:lang w:val="en-US" w:eastAsia="zh-CN" w:bidi="zh-CN"/>
        </w:rPr>
        <w:t xml:space="preserve">    1.《财政部 税务总局关于延续实施全年一次性奖金等个人所得税优惠政策的公告》（2021年第42号）</w:t>
      </w:r>
    </w:p>
    <w:p>
      <w:pPr>
        <w:pStyle w:val="30"/>
        <w:keepNext w:val="0"/>
        <w:keepLines w:val="0"/>
        <w:pageBreakBefore w:val="0"/>
        <w:widowControl w:val="0"/>
        <w:kinsoku/>
        <w:wordWrap/>
        <w:overflowPunct/>
        <w:topLinePunct w:val="0"/>
        <w:bidi w:val="0"/>
        <w:adjustRightInd/>
        <w:snapToGrid/>
        <w:spacing w:before="0" w:line="600" w:lineRule="exact"/>
        <w:ind w:left="0" w:firstLine="560" w:firstLineChars="200"/>
        <w:jc w:val="both"/>
        <w:textAlignment w:val="auto"/>
        <w:outlineLvl w:val="9"/>
        <w:rPr>
          <w:rFonts w:hint="eastAsia" w:asciiTheme="minorEastAsia" w:hAnsiTheme="minorEastAsia" w:eastAsiaTheme="minorEastAsia" w:cstheme="minorEastAsia"/>
          <w:b w:val="0"/>
          <w:bCs w:val="0"/>
          <w:color w:val="000000"/>
          <w:sz w:val="28"/>
          <w:szCs w:val="28"/>
          <w:lang w:val="en-US" w:eastAsia="zh-CN" w:bidi="zh-CN"/>
        </w:rPr>
      </w:pPr>
      <w:r>
        <w:rPr>
          <w:rFonts w:hint="eastAsia" w:asciiTheme="minorEastAsia" w:hAnsiTheme="minorEastAsia" w:eastAsiaTheme="minorEastAsia" w:cstheme="minorEastAsia"/>
          <w:b w:val="0"/>
          <w:bCs w:val="0"/>
          <w:color w:val="000000"/>
          <w:sz w:val="28"/>
          <w:szCs w:val="28"/>
          <w:lang w:val="en-US" w:eastAsia="zh-CN" w:bidi="zh-CN"/>
        </w:rPr>
        <w:t>2.《财政部 税务总局关于个人所得税法修改后有关优惠政策衔接问题的通知》（财税〔2018〕164号）</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leftChars="0" w:firstLine="562" w:firstLineChars="200"/>
        <w:jc w:val="both"/>
        <w:textAlignment w:val="auto"/>
        <w:outlineLvl w:val="1"/>
        <w:rPr>
          <w:rFonts w:hint="eastAsia" w:asciiTheme="minorEastAsia" w:hAnsiTheme="minorEastAsia" w:eastAsiaTheme="minorEastAsia" w:cstheme="minorEastAsia"/>
          <w:b/>
          <w:bCs/>
          <w:i w:val="0"/>
          <w:iCs w:val="0"/>
          <w:caps w:val="0"/>
          <w:color w:val="auto"/>
          <w:spacing w:val="0"/>
          <w:sz w:val="28"/>
          <w:szCs w:val="28"/>
          <w:shd w:val="clear" w:color="auto" w:fill="FFFFFF"/>
        </w:rPr>
      </w:pPr>
      <w:bookmarkStart w:id="542" w:name="_Toc32163"/>
      <w:bookmarkStart w:id="543" w:name="_Toc628774564"/>
      <w:bookmarkStart w:id="544" w:name="_Toc1924323575"/>
      <w:bookmarkStart w:id="545" w:name="_Toc1688763752"/>
      <w:bookmarkStart w:id="546" w:name="_Toc136933707"/>
      <w:r>
        <w:rPr>
          <w:rFonts w:hint="eastAsia" w:asciiTheme="minorEastAsia" w:hAnsiTheme="minorEastAsia" w:eastAsiaTheme="minorEastAsia" w:cstheme="minorEastAsia"/>
          <w:b/>
          <w:bCs/>
          <w:color w:val="auto"/>
          <w:sz w:val="28"/>
          <w:szCs w:val="28"/>
          <w:lang w:val="en-US" w:eastAsia="zh-CN"/>
        </w:rPr>
        <w:t>（三十）</w:t>
      </w:r>
      <w:r>
        <w:rPr>
          <w:rFonts w:hint="eastAsia" w:asciiTheme="minorEastAsia" w:hAnsiTheme="minorEastAsia" w:eastAsiaTheme="minorEastAsia" w:cstheme="minorEastAsia"/>
          <w:b/>
          <w:bCs/>
          <w:i w:val="0"/>
          <w:iCs w:val="0"/>
          <w:caps w:val="0"/>
          <w:color w:val="auto"/>
          <w:spacing w:val="0"/>
          <w:sz w:val="28"/>
          <w:szCs w:val="28"/>
          <w:shd w:val="clear" w:color="auto" w:fill="FFFFFF"/>
          <w:lang w:eastAsia="zh-CN"/>
        </w:rPr>
        <w:t>上市公司股权激励</w:t>
      </w:r>
      <w:r>
        <w:rPr>
          <w:rFonts w:hint="eastAsia" w:asciiTheme="minorEastAsia" w:hAnsiTheme="minorEastAsia" w:eastAsiaTheme="minorEastAsia" w:cstheme="minorEastAsia"/>
          <w:b/>
          <w:bCs/>
          <w:i w:val="0"/>
          <w:iCs w:val="0"/>
          <w:caps w:val="0"/>
          <w:color w:val="auto"/>
          <w:spacing w:val="0"/>
          <w:sz w:val="28"/>
          <w:szCs w:val="28"/>
          <w:shd w:val="clear" w:color="auto" w:fill="FFFFFF"/>
        </w:rPr>
        <w:t>个人所得税优惠政策</w:t>
      </w:r>
      <w:bookmarkEnd w:id="542"/>
      <w:bookmarkEnd w:id="543"/>
      <w:bookmarkEnd w:id="544"/>
      <w:bookmarkEnd w:id="545"/>
      <w:bookmarkEnd w:id="546"/>
    </w:p>
    <w:p>
      <w:pPr>
        <w:pStyle w:val="29"/>
        <w:keepNext w:val="0"/>
        <w:keepLines w:val="0"/>
        <w:pageBreakBefore w:val="0"/>
        <w:widowControl w:val="0"/>
        <w:tabs>
          <w:tab w:val="left" w:pos="1485"/>
        </w:tabs>
        <w:kinsoku/>
        <w:wordWrap/>
        <w:overflowPunct/>
        <w:topLinePunct w:val="0"/>
        <w:bidi w:val="0"/>
        <w:adjustRightInd/>
        <w:snapToGrid/>
        <w:spacing w:line="600" w:lineRule="exact"/>
        <w:ind w:left="0" w:firstLine="562" w:firstLineChars="200"/>
        <w:jc w:val="both"/>
        <w:textAlignment w:val="auto"/>
        <w:outlineLvl w:val="2"/>
        <w:rPr>
          <w:rFonts w:hint="eastAsia" w:asciiTheme="minorEastAsia" w:hAnsiTheme="minorEastAsia" w:eastAsiaTheme="minorEastAsia" w:cstheme="minorEastAsia"/>
          <w:b/>
          <w:bCs/>
          <w:color w:val="000000"/>
          <w:sz w:val="28"/>
          <w:szCs w:val="28"/>
          <w:lang w:val="en-US"/>
        </w:rPr>
      </w:pPr>
      <w:r>
        <w:rPr>
          <w:rFonts w:hint="eastAsia" w:asciiTheme="minorEastAsia" w:hAnsiTheme="minorEastAsia" w:eastAsiaTheme="minorEastAsia" w:cstheme="minorEastAsia"/>
          <w:b/>
          <w:bCs/>
          <w:color w:val="000000"/>
          <w:sz w:val="28"/>
          <w:szCs w:val="28"/>
          <w:lang w:val="en-US"/>
        </w:rPr>
        <w:t>【享受主体】</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leftChars="0"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居民个人</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firstLine="562" w:firstLineChars="200"/>
        <w:jc w:val="both"/>
        <w:textAlignment w:val="auto"/>
        <w:outlineLvl w:val="2"/>
        <w:rPr>
          <w:rFonts w:hint="eastAsia" w:asciiTheme="minorEastAsia" w:hAnsiTheme="minorEastAsia" w:eastAsiaTheme="minorEastAsia" w:cstheme="minorEastAsia"/>
          <w:b/>
          <w:bCs/>
          <w:color w:val="000000"/>
          <w:sz w:val="28"/>
          <w:szCs w:val="28"/>
          <w:lang w:val="en-US"/>
        </w:rPr>
      </w:pPr>
      <w:r>
        <w:rPr>
          <w:rFonts w:hint="eastAsia" w:asciiTheme="minorEastAsia" w:hAnsiTheme="minorEastAsia" w:eastAsiaTheme="minorEastAsia" w:cstheme="minorEastAsia"/>
          <w:b/>
          <w:bCs/>
          <w:color w:val="000000"/>
          <w:sz w:val="28"/>
          <w:szCs w:val="28"/>
          <w:lang w:val="en-US"/>
        </w:rPr>
        <w:t>【优惠内容】</w:t>
      </w:r>
    </w:p>
    <w:p>
      <w:pPr>
        <w:pStyle w:val="29"/>
        <w:keepNext w:val="0"/>
        <w:keepLines w:val="0"/>
        <w:pageBreakBefore w:val="0"/>
        <w:widowControl w:val="0"/>
        <w:tabs>
          <w:tab w:val="left" w:pos="1485"/>
        </w:tabs>
        <w:kinsoku/>
        <w:wordWrap/>
        <w:overflowPunct/>
        <w:topLinePunct w:val="0"/>
        <w:bidi w:val="0"/>
        <w:adjustRightInd/>
        <w:snapToGrid/>
        <w:spacing w:line="600" w:lineRule="exact"/>
        <w:ind w:left="0"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居民个人取得股票期权、股票增值权、限制性股票、股权奖励等股权激励符合相关政策条件后，在2022年12月31日前，不并入当年综合所得，全额单独适用综合所得税率表，计算纳税。计算公式为：</w:t>
      </w:r>
      <w:r>
        <w:rPr>
          <w:rFonts w:hint="eastAsia" w:asciiTheme="minorEastAsia" w:hAnsiTheme="minorEastAsia" w:eastAsiaTheme="minorEastAsia" w:cstheme="minorEastAsia"/>
          <w:color w:val="000000"/>
          <w:sz w:val="28"/>
          <w:szCs w:val="28"/>
          <w:lang w:val="en-US" w:eastAsia="zh-CN"/>
        </w:rPr>
        <w:br w:type="textWrapping"/>
      </w:r>
      <w:r>
        <w:rPr>
          <w:rFonts w:hint="eastAsia" w:asciiTheme="minorEastAsia" w:hAnsiTheme="minorEastAsia" w:eastAsiaTheme="minorEastAsia" w:cstheme="minorEastAsia"/>
          <w:color w:val="000000"/>
          <w:sz w:val="28"/>
          <w:szCs w:val="28"/>
          <w:lang w:val="en-US" w:eastAsia="zh-CN"/>
        </w:rPr>
        <w:t>　　应纳税额＝股权激励收入×适用税率－速算扣除数</w:t>
      </w:r>
      <w:r>
        <w:rPr>
          <w:rFonts w:hint="eastAsia" w:asciiTheme="minorEastAsia" w:hAnsiTheme="minorEastAsia" w:eastAsiaTheme="minorEastAsia" w:cstheme="minorEastAsia"/>
          <w:color w:val="000000"/>
          <w:sz w:val="28"/>
          <w:szCs w:val="28"/>
          <w:lang w:val="en-US" w:eastAsia="zh-CN"/>
        </w:rPr>
        <w:br w:type="textWrapping"/>
      </w:r>
      <w:r>
        <w:rPr>
          <w:rFonts w:hint="eastAsia" w:asciiTheme="minorEastAsia" w:hAnsiTheme="minorEastAsia" w:eastAsiaTheme="minorEastAsia" w:cstheme="minorEastAsia"/>
          <w:color w:val="000000"/>
          <w:sz w:val="28"/>
          <w:szCs w:val="28"/>
          <w:lang w:val="en-US" w:eastAsia="zh-CN"/>
        </w:rPr>
        <w:t>　　居民个人一个纳税年度内取得两次以上（含两次）股权激励的，应合并按规定计算纳税。</w:t>
      </w:r>
    </w:p>
    <w:p>
      <w:pPr>
        <w:keepNext w:val="0"/>
        <w:keepLines w:val="0"/>
        <w:pageBreakBefore w:val="0"/>
        <w:widowControl w:val="0"/>
        <w:kinsoku/>
        <w:wordWrap/>
        <w:overflowPunct/>
        <w:topLinePunct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p>
    <w:p>
      <w:pPr>
        <w:keepNext w:val="0"/>
        <w:keepLines w:val="0"/>
        <w:pageBreakBefore w:val="0"/>
        <w:widowControl w:val="0"/>
        <w:kinsoku/>
        <w:wordWrap/>
        <w:overflowPunct/>
        <w:topLinePunct w:val="0"/>
        <w:autoSpaceDE w:val="0"/>
        <w:autoSpaceDN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bidi="zh-CN"/>
        </w:rPr>
      </w:pPr>
      <w:r>
        <w:rPr>
          <w:rFonts w:hint="eastAsia" w:asciiTheme="minorEastAsia" w:hAnsiTheme="minorEastAsia" w:eastAsiaTheme="minorEastAsia" w:cstheme="minorEastAsia"/>
          <w:color w:val="000000"/>
          <w:sz w:val="28"/>
          <w:szCs w:val="28"/>
          <w:lang w:val="en-US" w:eastAsia="zh-CN" w:bidi="zh-CN"/>
        </w:rPr>
        <w:t>居民个人取得股票期权、股票增值权、限制性股票、股权奖励等股权激励，应当符合《</w:t>
      </w:r>
      <w:r>
        <w:rPr>
          <w:rFonts w:hint="eastAsia" w:asciiTheme="minorEastAsia" w:hAnsiTheme="minorEastAsia" w:eastAsiaTheme="minorEastAsia" w:cstheme="minorEastAsia"/>
          <w:color w:val="000000"/>
          <w:sz w:val="28"/>
          <w:szCs w:val="28"/>
          <w:lang w:val="en-US" w:eastAsia="zh-CN" w:bidi="zh-CN"/>
        </w:rPr>
        <w:fldChar w:fldCharType="begin"/>
      </w:r>
      <w:r>
        <w:rPr>
          <w:rFonts w:hint="eastAsia" w:asciiTheme="minorEastAsia" w:hAnsiTheme="minorEastAsia" w:eastAsiaTheme="minorEastAsia" w:cstheme="minorEastAsia"/>
          <w:color w:val="000000"/>
          <w:sz w:val="28"/>
          <w:szCs w:val="28"/>
          <w:lang w:val="en-US" w:eastAsia="zh-CN" w:bidi="zh-CN"/>
        </w:rPr>
        <w:instrText xml:space="preserve"> HYPERLINK "https://www.shui5.cn/article/63/22193.html" </w:instrText>
      </w:r>
      <w:r>
        <w:rPr>
          <w:rFonts w:hint="eastAsia" w:asciiTheme="minorEastAsia" w:hAnsiTheme="minorEastAsia" w:eastAsiaTheme="minorEastAsia" w:cstheme="minorEastAsia"/>
          <w:color w:val="000000"/>
          <w:sz w:val="28"/>
          <w:szCs w:val="28"/>
          <w:lang w:val="en-US" w:eastAsia="zh-CN" w:bidi="zh-CN"/>
        </w:rPr>
        <w:fldChar w:fldCharType="separate"/>
      </w:r>
      <w:r>
        <w:rPr>
          <w:rFonts w:hint="eastAsia" w:asciiTheme="minorEastAsia" w:hAnsiTheme="minorEastAsia" w:eastAsiaTheme="minorEastAsia" w:cstheme="minorEastAsia"/>
          <w:color w:val="000000"/>
          <w:sz w:val="28"/>
          <w:szCs w:val="28"/>
          <w:lang w:val="en-US" w:eastAsia="zh-CN" w:bidi="zh-CN"/>
        </w:rPr>
        <w:t>财政部 国家税务总局关于个人股票期权所得征收个人所得税问题的通知</w:t>
      </w:r>
      <w:r>
        <w:rPr>
          <w:rFonts w:hint="eastAsia" w:asciiTheme="minorEastAsia" w:hAnsiTheme="minorEastAsia" w:eastAsiaTheme="minorEastAsia" w:cstheme="minorEastAsia"/>
          <w:color w:val="000000"/>
          <w:sz w:val="28"/>
          <w:szCs w:val="28"/>
          <w:lang w:val="en-US" w:eastAsia="zh-CN" w:bidi="zh-CN"/>
        </w:rPr>
        <w:fldChar w:fldCharType="end"/>
      </w:r>
      <w:r>
        <w:rPr>
          <w:rFonts w:hint="eastAsia" w:asciiTheme="minorEastAsia" w:hAnsiTheme="minorEastAsia" w:eastAsiaTheme="minorEastAsia" w:cstheme="minorEastAsia"/>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fldChar w:fldCharType="begin"/>
      </w:r>
      <w:r>
        <w:rPr>
          <w:rFonts w:hint="eastAsia" w:asciiTheme="minorEastAsia" w:hAnsiTheme="minorEastAsia" w:eastAsiaTheme="minorEastAsia" w:cstheme="minorEastAsia"/>
          <w:color w:val="000000"/>
          <w:sz w:val="28"/>
          <w:szCs w:val="28"/>
          <w:lang w:val="en-US" w:eastAsia="zh-CN" w:bidi="zh-CN"/>
        </w:rPr>
        <w:instrText xml:space="preserve"> HYPERLINK "https://www.shui5.cn/article/63/22193.html" </w:instrText>
      </w:r>
      <w:r>
        <w:rPr>
          <w:rFonts w:hint="eastAsia" w:asciiTheme="minorEastAsia" w:hAnsiTheme="minorEastAsia" w:eastAsiaTheme="minorEastAsia" w:cstheme="minorEastAsia"/>
          <w:color w:val="000000"/>
          <w:sz w:val="28"/>
          <w:szCs w:val="28"/>
          <w:lang w:val="en-US" w:eastAsia="zh-CN" w:bidi="zh-CN"/>
        </w:rPr>
        <w:fldChar w:fldCharType="separate"/>
      </w:r>
      <w:r>
        <w:rPr>
          <w:rFonts w:hint="eastAsia" w:asciiTheme="minorEastAsia" w:hAnsiTheme="minorEastAsia" w:eastAsiaTheme="minorEastAsia" w:cstheme="minorEastAsia"/>
          <w:color w:val="000000"/>
          <w:sz w:val="28"/>
          <w:szCs w:val="28"/>
          <w:lang w:val="en-US" w:eastAsia="zh-CN" w:bidi="zh-CN"/>
        </w:rPr>
        <w:t>财税</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t>2005</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t>35号</w:t>
      </w:r>
      <w:r>
        <w:rPr>
          <w:rFonts w:hint="eastAsia" w:asciiTheme="minorEastAsia" w:hAnsiTheme="minorEastAsia" w:eastAsiaTheme="minorEastAsia" w:cstheme="minorEastAsia"/>
          <w:color w:val="000000"/>
          <w:sz w:val="28"/>
          <w:szCs w:val="28"/>
          <w:lang w:val="en-US" w:eastAsia="zh-CN" w:bidi="zh-CN"/>
        </w:rPr>
        <w:fldChar w:fldCharType="end"/>
      </w:r>
      <w:r>
        <w:rPr>
          <w:rFonts w:hint="eastAsia" w:asciiTheme="minorEastAsia" w:hAnsiTheme="minorEastAsia" w:eastAsiaTheme="minorEastAsia" w:cstheme="minorEastAsia"/>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fldChar w:fldCharType="begin"/>
      </w:r>
      <w:r>
        <w:rPr>
          <w:rFonts w:hint="eastAsia" w:asciiTheme="minorEastAsia" w:hAnsiTheme="minorEastAsia" w:eastAsiaTheme="minorEastAsia" w:cstheme="minorEastAsia"/>
          <w:color w:val="000000"/>
          <w:sz w:val="28"/>
          <w:szCs w:val="28"/>
          <w:lang w:val="en-US" w:eastAsia="zh-CN" w:bidi="zh-CN"/>
        </w:rPr>
        <w:instrText xml:space="preserve"> HYPERLINK "https://www.shui5.cn/article/cb/22191.html" </w:instrText>
      </w:r>
      <w:r>
        <w:rPr>
          <w:rFonts w:hint="eastAsia" w:asciiTheme="minorEastAsia" w:hAnsiTheme="minorEastAsia" w:eastAsiaTheme="minorEastAsia" w:cstheme="minorEastAsia"/>
          <w:color w:val="000000"/>
          <w:sz w:val="28"/>
          <w:szCs w:val="28"/>
          <w:lang w:val="en-US" w:eastAsia="zh-CN" w:bidi="zh-CN"/>
        </w:rPr>
        <w:fldChar w:fldCharType="separate"/>
      </w:r>
      <w:r>
        <w:rPr>
          <w:rFonts w:hint="eastAsia" w:asciiTheme="minorEastAsia" w:hAnsiTheme="minorEastAsia" w:eastAsiaTheme="minorEastAsia" w:cstheme="minorEastAsia"/>
          <w:color w:val="000000"/>
          <w:sz w:val="28"/>
          <w:szCs w:val="28"/>
          <w:lang w:val="en-US" w:eastAsia="zh-CN" w:bidi="zh-CN"/>
        </w:rPr>
        <w:t>财政部 国家税务总局关于股票增值权所得和限制性股票所得征收个人所得税有关问题的通知</w:t>
      </w:r>
      <w:r>
        <w:rPr>
          <w:rFonts w:hint="eastAsia" w:asciiTheme="minorEastAsia" w:hAnsiTheme="minorEastAsia" w:eastAsiaTheme="minorEastAsia" w:cstheme="minorEastAsia"/>
          <w:color w:val="000000"/>
          <w:sz w:val="28"/>
          <w:szCs w:val="28"/>
          <w:lang w:val="en-US" w:eastAsia="zh-CN" w:bidi="zh-CN"/>
        </w:rPr>
        <w:fldChar w:fldCharType="end"/>
      </w:r>
      <w:r>
        <w:rPr>
          <w:rFonts w:hint="eastAsia" w:asciiTheme="minorEastAsia" w:hAnsiTheme="minorEastAsia" w:eastAsiaTheme="minorEastAsia" w:cstheme="minorEastAsia"/>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fldChar w:fldCharType="begin"/>
      </w:r>
      <w:r>
        <w:rPr>
          <w:rFonts w:hint="eastAsia" w:asciiTheme="minorEastAsia" w:hAnsiTheme="minorEastAsia" w:eastAsiaTheme="minorEastAsia" w:cstheme="minorEastAsia"/>
          <w:color w:val="000000"/>
          <w:sz w:val="28"/>
          <w:szCs w:val="28"/>
          <w:lang w:val="en-US" w:eastAsia="zh-CN" w:bidi="zh-CN"/>
        </w:rPr>
        <w:instrText xml:space="preserve"> HYPERLINK "https://www.shui5.cn/article/cb/22191.html" </w:instrText>
      </w:r>
      <w:r>
        <w:rPr>
          <w:rFonts w:hint="eastAsia" w:asciiTheme="minorEastAsia" w:hAnsiTheme="minorEastAsia" w:eastAsiaTheme="minorEastAsia" w:cstheme="minorEastAsia"/>
          <w:color w:val="000000"/>
          <w:sz w:val="28"/>
          <w:szCs w:val="28"/>
          <w:lang w:val="en-US" w:eastAsia="zh-CN" w:bidi="zh-CN"/>
        </w:rPr>
        <w:fldChar w:fldCharType="separate"/>
      </w:r>
      <w:r>
        <w:rPr>
          <w:rFonts w:hint="eastAsia" w:asciiTheme="minorEastAsia" w:hAnsiTheme="minorEastAsia" w:eastAsiaTheme="minorEastAsia" w:cstheme="minorEastAsia"/>
          <w:color w:val="000000"/>
          <w:sz w:val="28"/>
          <w:szCs w:val="28"/>
          <w:lang w:val="en-US" w:eastAsia="zh-CN" w:bidi="zh-CN"/>
        </w:rPr>
        <w:t>财税</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t>2009</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t>5号</w:t>
      </w:r>
      <w:r>
        <w:rPr>
          <w:rFonts w:hint="eastAsia" w:asciiTheme="minorEastAsia" w:hAnsiTheme="minorEastAsia" w:eastAsiaTheme="minorEastAsia" w:cstheme="minorEastAsia"/>
          <w:color w:val="000000"/>
          <w:sz w:val="28"/>
          <w:szCs w:val="28"/>
          <w:lang w:val="en-US" w:eastAsia="zh-CN" w:bidi="zh-CN"/>
        </w:rPr>
        <w:fldChar w:fldCharType="end"/>
      </w:r>
      <w:r>
        <w:rPr>
          <w:rFonts w:hint="eastAsia" w:asciiTheme="minorEastAsia" w:hAnsiTheme="minorEastAsia" w:eastAsiaTheme="minorEastAsia" w:cstheme="minorEastAsia"/>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fldChar w:fldCharType="begin"/>
      </w:r>
      <w:r>
        <w:rPr>
          <w:rFonts w:hint="eastAsia" w:asciiTheme="minorEastAsia" w:hAnsiTheme="minorEastAsia" w:eastAsiaTheme="minorEastAsia" w:cstheme="minorEastAsia"/>
          <w:color w:val="000000"/>
          <w:sz w:val="28"/>
          <w:szCs w:val="28"/>
          <w:lang w:val="en-US" w:eastAsia="zh-CN" w:bidi="zh-CN"/>
        </w:rPr>
        <w:instrText xml:space="preserve"> HYPERLINK "https://www.shui5.cn/article/f1/82998.html" </w:instrText>
      </w:r>
      <w:r>
        <w:rPr>
          <w:rFonts w:hint="eastAsia" w:asciiTheme="minorEastAsia" w:hAnsiTheme="minorEastAsia" w:eastAsiaTheme="minorEastAsia" w:cstheme="minorEastAsia"/>
          <w:color w:val="000000"/>
          <w:sz w:val="28"/>
          <w:szCs w:val="28"/>
          <w:lang w:val="en-US" w:eastAsia="zh-CN" w:bidi="zh-CN"/>
        </w:rPr>
        <w:fldChar w:fldCharType="separate"/>
      </w:r>
      <w:r>
        <w:rPr>
          <w:rFonts w:hint="eastAsia" w:asciiTheme="minorEastAsia" w:hAnsiTheme="minorEastAsia" w:eastAsiaTheme="minorEastAsia" w:cstheme="minorEastAsia"/>
          <w:color w:val="000000"/>
          <w:sz w:val="28"/>
          <w:szCs w:val="28"/>
          <w:lang w:val="en-US" w:eastAsia="zh-CN" w:bidi="zh-CN"/>
        </w:rPr>
        <w:t>财政部 国家税务总局关于将国家自主创新示范区有关税收试点政策推广到全国范围实施的通知</w:t>
      </w:r>
      <w:r>
        <w:rPr>
          <w:rFonts w:hint="eastAsia" w:asciiTheme="minorEastAsia" w:hAnsiTheme="minorEastAsia" w:eastAsiaTheme="minorEastAsia" w:cstheme="minorEastAsia"/>
          <w:color w:val="000000"/>
          <w:sz w:val="28"/>
          <w:szCs w:val="28"/>
          <w:lang w:val="en-US" w:eastAsia="zh-CN" w:bidi="zh-CN"/>
        </w:rPr>
        <w:fldChar w:fldCharType="end"/>
      </w:r>
      <w:r>
        <w:rPr>
          <w:rFonts w:hint="eastAsia" w:asciiTheme="minorEastAsia" w:hAnsiTheme="minorEastAsia" w:eastAsiaTheme="minorEastAsia" w:cstheme="minorEastAsia"/>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fldChar w:fldCharType="begin"/>
      </w:r>
      <w:r>
        <w:rPr>
          <w:rFonts w:hint="eastAsia" w:asciiTheme="minorEastAsia" w:hAnsiTheme="minorEastAsia" w:eastAsiaTheme="minorEastAsia" w:cstheme="minorEastAsia"/>
          <w:color w:val="000000"/>
          <w:sz w:val="28"/>
          <w:szCs w:val="28"/>
          <w:lang w:val="en-US" w:eastAsia="zh-CN" w:bidi="zh-CN"/>
        </w:rPr>
        <w:instrText xml:space="preserve"> HYPERLINK "https://www.shui5.cn/article/f1/82998.html" </w:instrText>
      </w:r>
      <w:r>
        <w:rPr>
          <w:rFonts w:hint="eastAsia" w:asciiTheme="minorEastAsia" w:hAnsiTheme="minorEastAsia" w:eastAsiaTheme="minorEastAsia" w:cstheme="minorEastAsia"/>
          <w:color w:val="000000"/>
          <w:sz w:val="28"/>
          <w:szCs w:val="28"/>
          <w:lang w:val="en-US" w:eastAsia="zh-CN" w:bidi="zh-CN"/>
        </w:rPr>
        <w:fldChar w:fldCharType="separate"/>
      </w:r>
      <w:r>
        <w:rPr>
          <w:rFonts w:hint="eastAsia" w:asciiTheme="minorEastAsia" w:hAnsiTheme="minorEastAsia" w:eastAsiaTheme="minorEastAsia" w:cstheme="minorEastAsia"/>
          <w:color w:val="000000"/>
          <w:sz w:val="28"/>
          <w:szCs w:val="28"/>
          <w:lang w:val="en-US" w:eastAsia="zh-CN" w:bidi="zh-CN"/>
        </w:rPr>
        <w:t>财税</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t>2015</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t>116号</w:t>
      </w:r>
      <w:r>
        <w:rPr>
          <w:rFonts w:hint="eastAsia" w:asciiTheme="minorEastAsia" w:hAnsiTheme="minorEastAsia" w:eastAsiaTheme="minorEastAsia" w:cstheme="minorEastAsia"/>
          <w:color w:val="000000"/>
          <w:sz w:val="28"/>
          <w:szCs w:val="28"/>
          <w:lang w:val="en-US" w:eastAsia="zh-CN" w:bidi="zh-CN"/>
        </w:rPr>
        <w:fldChar w:fldCharType="end"/>
      </w:r>
      <w:r>
        <w:rPr>
          <w:rFonts w:hint="eastAsia" w:asciiTheme="minorEastAsia" w:hAnsiTheme="minorEastAsia" w:eastAsiaTheme="minorEastAsia" w:cstheme="minorEastAsia"/>
          <w:color w:val="000000"/>
          <w:sz w:val="28"/>
          <w:szCs w:val="28"/>
          <w:lang w:val="en-US" w:eastAsia="zh-CN" w:bidi="zh-CN"/>
        </w:rPr>
        <w:t>）第四条、《</w:t>
      </w:r>
      <w:r>
        <w:rPr>
          <w:rFonts w:hint="eastAsia" w:asciiTheme="minorEastAsia" w:hAnsiTheme="minorEastAsia" w:eastAsiaTheme="minorEastAsia" w:cstheme="minorEastAsia"/>
          <w:color w:val="000000"/>
          <w:sz w:val="28"/>
          <w:szCs w:val="28"/>
          <w:lang w:val="en-US" w:eastAsia="zh-CN" w:bidi="zh-CN"/>
        </w:rPr>
        <w:fldChar w:fldCharType="begin"/>
      </w:r>
      <w:r>
        <w:rPr>
          <w:rFonts w:hint="eastAsia" w:asciiTheme="minorEastAsia" w:hAnsiTheme="minorEastAsia" w:eastAsiaTheme="minorEastAsia" w:cstheme="minorEastAsia"/>
          <w:color w:val="000000"/>
          <w:sz w:val="28"/>
          <w:szCs w:val="28"/>
          <w:lang w:val="en-US" w:eastAsia="zh-CN" w:bidi="zh-CN"/>
        </w:rPr>
        <w:instrText xml:space="preserve"> HYPERLINK "https://www.shui5.cn/article/94/107559.html" </w:instrText>
      </w:r>
      <w:r>
        <w:rPr>
          <w:rFonts w:hint="eastAsia" w:asciiTheme="minorEastAsia" w:hAnsiTheme="minorEastAsia" w:eastAsiaTheme="minorEastAsia" w:cstheme="minorEastAsia"/>
          <w:color w:val="000000"/>
          <w:sz w:val="28"/>
          <w:szCs w:val="28"/>
          <w:lang w:val="en-US" w:eastAsia="zh-CN" w:bidi="zh-CN"/>
        </w:rPr>
        <w:fldChar w:fldCharType="separate"/>
      </w:r>
      <w:r>
        <w:rPr>
          <w:rFonts w:hint="eastAsia" w:asciiTheme="minorEastAsia" w:hAnsiTheme="minorEastAsia" w:eastAsiaTheme="minorEastAsia" w:cstheme="minorEastAsia"/>
          <w:color w:val="000000"/>
          <w:sz w:val="28"/>
          <w:szCs w:val="28"/>
          <w:lang w:val="en-US" w:eastAsia="zh-CN" w:bidi="zh-CN"/>
        </w:rPr>
        <w:t>财政部 国家税务总局关于完善股权激励和技术入股有关所得税政策的通知</w:t>
      </w:r>
      <w:r>
        <w:rPr>
          <w:rFonts w:hint="eastAsia" w:asciiTheme="minorEastAsia" w:hAnsiTheme="minorEastAsia" w:eastAsiaTheme="minorEastAsia" w:cstheme="minorEastAsia"/>
          <w:color w:val="000000"/>
          <w:sz w:val="28"/>
          <w:szCs w:val="28"/>
          <w:lang w:val="en-US" w:eastAsia="zh-CN" w:bidi="zh-CN"/>
        </w:rPr>
        <w:fldChar w:fldCharType="end"/>
      </w:r>
      <w:r>
        <w:rPr>
          <w:rFonts w:hint="eastAsia" w:asciiTheme="minorEastAsia" w:hAnsiTheme="minorEastAsia" w:eastAsiaTheme="minorEastAsia" w:cstheme="minorEastAsia"/>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fldChar w:fldCharType="begin"/>
      </w:r>
      <w:r>
        <w:rPr>
          <w:rFonts w:hint="eastAsia" w:asciiTheme="minorEastAsia" w:hAnsiTheme="minorEastAsia" w:eastAsiaTheme="minorEastAsia" w:cstheme="minorEastAsia"/>
          <w:color w:val="000000"/>
          <w:sz w:val="28"/>
          <w:szCs w:val="28"/>
          <w:lang w:val="en-US" w:eastAsia="zh-CN" w:bidi="zh-CN"/>
        </w:rPr>
        <w:instrText xml:space="preserve"> HYPERLINK "https://www.shui5.cn/article/94/107559.html" </w:instrText>
      </w:r>
      <w:r>
        <w:rPr>
          <w:rFonts w:hint="eastAsia" w:asciiTheme="minorEastAsia" w:hAnsiTheme="minorEastAsia" w:eastAsiaTheme="minorEastAsia" w:cstheme="minorEastAsia"/>
          <w:color w:val="000000"/>
          <w:sz w:val="28"/>
          <w:szCs w:val="28"/>
          <w:lang w:val="en-US" w:eastAsia="zh-CN" w:bidi="zh-CN"/>
        </w:rPr>
        <w:fldChar w:fldCharType="separate"/>
      </w:r>
      <w:r>
        <w:rPr>
          <w:rFonts w:hint="eastAsia" w:asciiTheme="minorEastAsia" w:hAnsiTheme="minorEastAsia" w:eastAsiaTheme="minorEastAsia" w:cstheme="minorEastAsia"/>
          <w:color w:val="000000"/>
          <w:sz w:val="28"/>
          <w:szCs w:val="28"/>
          <w:lang w:val="en-US" w:eastAsia="zh-CN" w:bidi="zh-CN"/>
        </w:rPr>
        <w:t>财税</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t>2016</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eastAsia="zh-CN" w:bidi="zh-CN"/>
        </w:rPr>
        <w:t>101号</w:t>
      </w:r>
      <w:r>
        <w:rPr>
          <w:rFonts w:hint="eastAsia" w:asciiTheme="minorEastAsia" w:hAnsiTheme="minorEastAsia" w:eastAsiaTheme="minorEastAsia" w:cstheme="minorEastAsia"/>
          <w:color w:val="000000"/>
          <w:sz w:val="28"/>
          <w:szCs w:val="28"/>
          <w:lang w:val="en-US" w:eastAsia="zh-CN" w:bidi="zh-CN"/>
        </w:rPr>
        <w:fldChar w:fldCharType="end"/>
      </w:r>
      <w:r>
        <w:rPr>
          <w:rFonts w:hint="eastAsia" w:asciiTheme="minorEastAsia" w:hAnsiTheme="minorEastAsia" w:eastAsiaTheme="minorEastAsia" w:cstheme="minorEastAsia"/>
          <w:color w:val="000000"/>
          <w:sz w:val="28"/>
          <w:szCs w:val="28"/>
          <w:lang w:val="en-US" w:eastAsia="zh-CN" w:bidi="zh-CN"/>
        </w:rPr>
        <w:t>）第四条第（一）项规定的相关条件。</w:t>
      </w:r>
    </w:p>
    <w:p>
      <w:pPr>
        <w:keepNext w:val="0"/>
        <w:keepLines w:val="0"/>
        <w:pageBreakBefore w:val="0"/>
        <w:widowControl w:val="0"/>
        <w:kinsoku/>
        <w:wordWrap/>
        <w:overflowPunct/>
        <w:topLinePunct w:val="0"/>
        <w:autoSpaceDE w:val="0"/>
        <w:autoSpaceDN w:val="0"/>
        <w:bidi w:val="0"/>
        <w:adjustRightInd/>
        <w:snapToGrid/>
        <w:spacing w:line="600" w:lineRule="exact"/>
        <w:ind w:firstLine="562" w:firstLineChars="20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eastAsia="zh-CN"/>
        </w:rPr>
        <w:t>【</w:t>
      </w:r>
      <w:r>
        <w:rPr>
          <w:rFonts w:hint="eastAsia" w:asciiTheme="minorEastAsia" w:hAnsiTheme="minorEastAsia" w:eastAsiaTheme="minorEastAsia" w:cstheme="minorEastAsia"/>
          <w:b/>
          <w:color w:val="000000"/>
          <w:sz w:val="28"/>
          <w:szCs w:val="28"/>
          <w:lang w:val="en-US"/>
        </w:rPr>
        <w:t>政策依据】</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snapToGrid w:val="0"/>
        <w:spacing w:beforeAutospacing="0" w:after="0" w:afterAutospacing="0" w:line="600" w:lineRule="exact"/>
        <w:ind w:left="0" w:right="0" w:firstLine="0"/>
        <w:jc w:val="left"/>
        <w:textAlignment w:val="auto"/>
        <w:outlineLvl w:val="9"/>
        <w:rPr>
          <w:rFonts w:hint="eastAsia" w:asciiTheme="minorEastAsia" w:hAnsiTheme="minorEastAsia" w:eastAsiaTheme="minorEastAsia" w:cstheme="minorEastAsia"/>
          <w:b w:val="0"/>
          <w:bCs w:val="0"/>
          <w:color w:val="000000"/>
          <w:sz w:val="28"/>
          <w:szCs w:val="28"/>
          <w:lang w:val="en-US" w:eastAsia="zh-CN" w:bidi="zh-CN"/>
        </w:rPr>
      </w:pPr>
      <w:r>
        <w:rPr>
          <w:rFonts w:hint="eastAsia" w:asciiTheme="minorEastAsia" w:hAnsiTheme="minorEastAsia" w:eastAsiaTheme="minorEastAsia" w:cstheme="minorEastAsia"/>
          <w:b w:val="0"/>
          <w:bCs w:val="0"/>
          <w:color w:val="000000"/>
          <w:sz w:val="28"/>
          <w:szCs w:val="28"/>
          <w:lang w:val="en-US" w:eastAsia="zh-CN" w:bidi="zh-CN"/>
        </w:rPr>
        <w:t xml:space="preserve">    1.《财政部 税务总局关于延续实施全年一次性奖金等个人所得税优惠政策的公告》（2021年第42号）</w:t>
      </w:r>
    </w:p>
    <w:p>
      <w:pPr>
        <w:pStyle w:val="30"/>
        <w:keepNext w:val="0"/>
        <w:keepLines w:val="0"/>
        <w:pageBreakBefore w:val="0"/>
        <w:widowControl w:val="0"/>
        <w:kinsoku/>
        <w:wordWrap/>
        <w:overflowPunct/>
        <w:topLinePunct w:val="0"/>
        <w:autoSpaceDE w:val="0"/>
        <w:autoSpaceDN w:val="0"/>
        <w:bidi w:val="0"/>
        <w:adjustRightInd/>
        <w:snapToGrid w:val="0"/>
        <w:spacing w:before="0" w:line="600" w:lineRule="exact"/>
        <w:ind w:left="0" w:firstLine="560" w:firstLineChars="200"/>
        <w:jc w:val="both"/>
        <w:textAlignment w:val="auto"/>
        <w:outlineLvl w:val="9"/>
        <w:rPr>
          <w:rFonts w:hint="eastAsia" w:asciiTheme="minorEastAsia" w:hAnsiTheme="minorEastAsia" w:eastAsiaTheme="minorEastAsia" w:cstheme="minorEastAsia"/>
          <w:b w:val="0"/>
          <w:bCs w:val="0"/>
          <w:color w:val="000000"/>
          <w:sz w:val="28"/>
          <w:szCs w:val="28"/>
          <w:lang w:val="en-US" w:eastAsia="zh-CN" w:bidi="zh-CN"/>
        </w:rPr>
      </w:pPr>
      <w:r>
        <w:rPr>
          <w:rFonts w:hint="eastAsia" w:asciiTheme="minorEastAsia" w:hAnsiTheme="minorEastAsia" w:eastAsiaTheme="minorEastAsia" w:cstheme="minorEastAsia"/>
          <w:b w:val="0"/>
          <w:bCs w:val="0"/>
          <w:color w:val="000000"/>
          <w:sz w:val="28"/>
          <w:szCs w:val="28"/>
          <w:lang w:val="en-US" w:eastAsia="zh-CN" w:bidi="zh-CN"/>
        </w:rPr>
        <w:t>2.《财政部 税务总局关于个人所得税法修改后有关优惠政策衔接问题的通知》（财税〔2018〕164号）</w:t>
      </w:r>
    </w:p>
    <w:p>
      <w:pPr>
        <w:pStyle w:val="29"/>
        <w:keepNext w:val="0"/>
        <w:keepLines w:val="0"/>
        <w:pageBreakBefore w:val="0"/>
        <w:widowControl w:val="0"/>
        <w:kinsoku/>
        <w:wordWrap/>
        <w:overflowPunct/>
        <w:topLinePunct w:val="0"/>
        <w:autoSpaceDE w:val="0"/>
        <w:autoSpaceDN w:val="0"/>
        <w:bidi w:val="0"/>
        <w:adjustRightInd/>
        <w:snapToGrid w:val="0"/>
        <w:spacing w:line="600" w:lineRule="exact"/>
        <w:ind w:firstLine="0" w:firstLineChars="0"/>
        <w:textAlignment w:val="auto"/>
        <w:outlineLvl w:val="1"/>
        <w:rPr>
          <w:rFonts w:hint="eastAsia" w:asciiTheme="minorEastAsia" w:hAnsiTheme="minorEastAsia" w:eastAsiaTheme="minorEastAsia" w:cstheme="minorEastAsia"/>
          <w:b/>
          <w:bCs/>
          <w:i w:val="0"/>
          <w:iCs w:val="0"/>
          <w:caps w:val="0"/>
          <w:color w:val="auto"/>
          <w:spacing w:val="0"/>
          <w:sz w:val="28"/>
          <w:szCs w:val="28"/>
          <w:shd w:val="clear" w:color="auto" w:fill="auto"/>
          <w:lang w:val="en-US"/>
        </w:rPr>
      </w:pPr>
      <w:bookmarkStart w:id="547" w:name="_Toc688565556"/>
      <w:bookmarkStart w:id="548" w:name="_Toc3507"/>
      <w:bookmarkStart w:id="549" w:name="_Toc414933781"/>
      <w:bookmarkStart w:id="550" w:name="_Toc239137012"/>
      <w:r>
        <w:rPr>
          <w:rFonts w:hint="eastAsia" w:asciiTheme="minorEastAsia" w:hAnsiTheme="minorEastAsia" w:eastAsiaTheme="minorEastAsia" w:cstheme="minorEastAsia"/>
          <w:b/>
          <w:bCs/>
          <w:color w:val="auto"/>
          <w:sz w:val="28"/>
          <w:szCs w:val="28"/>
          <w:lang w:val="en-US" w:eastAsia="zh-CN"/>
        </w:rPr>
        <w:t>（三十一）</w:t>
      </w:r>
      <w:r>
        <w:rPr>
          <w:rFonts w:hint="eastAsia" w:asciiTheme="minorEastAsia" w:hAnsiTheme="minorEastAsia" w:eastAsiaTheme="minorEastAsia" w:cstheme="minorEastAsia"/>
          <w:b/>
          <w:bCs/>
          <w:i w:val="0"/>
          <w:iCs w:val="0"/>
          <w:caps w:val="0"/>
          <w:color w:val="auto"/>
          <w:spacing w:val="0"/>
          <w:sz w:val="28"/>
          <w:szCs w:val="28"/>
          <w:shd w:val="clear" w:color="auto" w:fill="auto"/>
          <w:lang w:val="en-US"/>
        </w:rPr>
        <w:t>外籍个人津补贴个人所得税优惠政策</w:t>
      </w:r>
      <w:bookmarkEnd w:id="547"/>
      <w:bookmarkEnd w:id="548"/>
      <w:bookmarkEnd w:id="549"/>
      <w:bookmarkEnd w:id="550"/>
    </w:p>
    <w:p>
      <w:pPr>
        <w:keepNext w:val="0"/>
        <w:keepLines w:val="0"/>
        <w:pageBreakBefore w:val="0"/>
        <w:widowControl w:val="0"/>
        <w:kinsoku/>
        <w:wordWrap/>
        <w:overflowPunct/>
        <w:topLinePunct w:val="0"/>
        <w:autoSpaceDE w:val="0"/>
        <w:autoSpaceDN w:val="0"/>
        <w:bidi w:val="0"/>
        <w:adjustRightInd/>
        <w:snapToGrid w:val="0"/>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【享受主体】</w:t>
      </w:r>
    </w:p>
    <w:p>
      <w:pPr>
        <w:keepNext w:val="0"/>
        <w:keepLines w:val="0"/>
        <w:pageBreakBefore w:val="0"/>
        <w:widowControl w:val="0"/>
        <w:kinsoku/>
        <w:wordWrap/>
        <w:overflowPunct/>
        <w:topLinePunct w:val="0"/>
        <w:autoSpaceDE w:val="0"/>
        <w:autoSpaceDN w:val="0"/>
        <w:bidi w:val="0"/>
        <w:adjustRightInd/>
        <w:snapToGrid w:val="0"/>
        <w:spacing w:line="600" w:lineRule="exact"/>
        <w:ind w:left="52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符合居民条件的外籍个人</w:t>
      </w:r>
    </w:p>
    <w:p>
      <w:pPr>
        <w:keepNext w:val="0"/>
        <w:keepLines w:val="0"/>
        <w:pageBreakBefore w:val="0"/>
        <w:widowControl w:val="0"/>
        <w:kinsoku/>
        <w:wordWrap/>
        <w:overflowPunct/>
        <w:topLinePunct w:val="0"/>
        <w:autoSpaceDE w:val="0"/>
        <w:autoSpaceDN w:val="0"/>
        <w:bidi w:val="0"/>
        <w:adjustRightInd/>
        <w:snapToGrid w:val="0"/>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【优惠内容】</w:t>
      </w:r>
    </w:p>
    <w:p>
      <w:pPr>
        <w:keepNext w:val="0"/>
        <w:keepLines w:val="0"/>
        <w:pageBreakBefore w:val="0"/>
        <w:widowControl w:val="0"/>
        <w:kinsoku/>
        <w:wordWrap/>
        <w:overflowPunct/>
        <w:topLinePunct w:val="0"/>
        <w:autoSpaceDE w:val="0"/>
        <w:autoSpaceDN w:val="0"/>
        <w:bidi w:val="0"/>
        <w:adjustRightInd/>
        <w:snapToGrid w:val="0"/>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rPr>
        <w:t>自20</w:t>
      </w:r>
      <w:r>
        <w:rPr>
          <w:rFonts w:hint="eastAsia" w:asciiTheme="minorEastAsia" w:hAnsiTheme="minorEastAsia" w:eastAsiaTheme="minorEastAsia" w:cstheme="minorEastAsia"/>
          <w:color w:val="000000"/>
          <w:sz w:val="28"/>
          <w:szCs w:val="28"/>
          <w:lang w:val="en-US" w:eastAsia="zh-CN"/>
        </w:rPr>
        <w:t>19</w:t>
      </w:r>
      <w:r>
        <w:rPr>
          <w:rFonts w:hint="eastAsia" w:asciiTheme="minorEastAsia" w:hAnsiTheme="minorEastAsia" w:eastAsiaTheme="minorEastAsia" w:cstheme="minorEastAsia"/>
          <w:color w:val="000000"/>
          <w:sz w:val="28"/>
          <w:szCs w:val="28"/>
          <w:lang w:val="en-US"/>
        </w:rPr>
        <w:t>年</w:t>
      </w:r>
      <w:r>
        <w:rPr>
          <w:rFonts w:hint="eastAsia" w:asciiTheme="minorEastAsia" w:hAnsiTheme="minorEastAsia" w:eastAsiaTheme="minorEastAsia" w:cstheme="minorEastAsia"/>
          <w:color w:val="000000"/>
          <w:sz w:val="28"/>
          <w:szCs w:val="28"/>
          <w:lang w:val="en-US" w:eastAsia="zh-CN"/>
        </w:rPr>
        <w:t>1</w:t>
      </w:r>
      <w:r>
        <w:rPr>
          <w:rFonts w:hint="eastAsia" w:asciiTheme="minorEastAsia" w:hAnsiTheme="minorEastAsia" w:eastAsiaTheme="minorEastAsia" w:cstheme="minorEastAsia"/>
          <w:color w:val="000000"/>
          <w:sz w:val="28"/>
          <w:szCs w:val="28"/>
          <w:lang w:val="en-US"/>
        </w:rPr>
        <w:t>月1日至202</w:t>
      </w:r>
      <w:r>
        <w:rPr>
          <w:rFonts w:hint="eastAsia" w:asciiTheme="minorEastAsia" w:hAnsiTheme="minorEastAsia" w:eastAsiaTheme="minorEastAsia" w:cstheme="minorEastAsia"/>
          <w:color w:val="000000"/>
          <w:sz w:val="28"/>
          <w:szCs w:val="28"/>
          <w:lang w:val="en-US" w:eastAsia="zh-CN"/>
        </w:rPr>
        <w:t>3</w:t>
      </w:r>
      <w:r>
        <w:rPr>
          <w:rFonts w:hint="eastAsia" w:asciiTheme="minorEastAsia" w:hAnsiTheme="minorEastAsia" w:eastAsiaTheme="minorEastAsia" w:cstheme="minorEastAsia"/>
          <w:color w:val="000000"/>
          <w:sz w:val="28"/>
          <w:szCs w:val="28"/>
          <w:lang w:val="en-US"/>
        </w:rPr>
        <w:t>年</w:t>
      </w:r>
      <w:r>
        <w:rPr>
          <w:rFonts w:hint="eastAsia" w:asciiTheme="minorEastAsia" w:hAnsiTheme="minorEastAsia" w:eastAsiaTheme="minorEastAsia" w:cstheme="minorEastAsia"/>
          <w:color w:val="000000"/>
          <w:sz w:val="28"/>
          <w:szCs w:val="28"/>
          <w:lang w:val="en-US" w:eastAsia="zh-CN"/>
        </w:rPr>
        <w:t>12</w:t>
      </w:r>
      <w:r>
        <w:rPr>
          <w:rFonts w:hint="eastAsia" w:asciiTheme="minorEastAsia" w:hAnsiTheme="minorEastAsia" w:eastAsiaTheme="minorEastAsia" w:cstheme="minorEastAsia"/>
          <w:color w:val="000000"/>
          <w:sz w:val="28"/>
          <w:szCs w:val="28"/>
          <w:lang w:val="en-US"/>
        </w:rPr>
        <w:t>月31日，外籍个人符合居民个人条件的，可以选择享受个人所得税专项附加扣除，也可以选择按照《</w:t>
      </w:r>
      <w:r>
        <w:rPr>
          <w:rFonts w:hint="eastAsia" w:asciiTheme="minorEastAsia" w:hAnsiTheme="minorEastAsia" w:eastAsiaTheme="minorEastAsia" w:cstheme="minorEastAsia"/>
          <w:color w:val="000000"/>
          <w:sz w:val="28"/>
          <w:szCs w:val="28"/>
          <w:lang w:val="en-US"/>
        </w:rPr>
        <w:fldChar w:fldCharType="begin"/>
      </w:r>
      <w:r>
        <w:rPr>
          <w:rFonts w:hint="eastAsia" w:asciiTheme="minorEastAsia" w:hAnsiTheme="minorEastAsia" w:eastAsiaTheme="minorEastAsia" w:cstheme="minorEastAsia"/>
          <w:color w:val="000000"/>
          <w:sz w:val="28"/>
          <w:szCs w:val="28"/>
          <w:lang w:val="en-US"/>
        </w:rPr>
        <w:instrText xml:space="preserve"> HYPERLINK "https://www.shui5.cn/article/3f/5835.html" </w:instrText>
      </w:r>
      <w:r>
        <w:rPr>
          <w:rFonts w:hint="eastAsia" w:asciiTheme="minorEastAsia" w:hAnsiTheme="minorEastAsia" w:eastAsiaTheme="minorEastAsia" w:cstheme="minorEastAsia"/>
          <w:color w:val="000000"/>
          <w:sz w:val="28"/>
          <w:szCs w:val="28"/>
          <w:lang w:val="en-US"/>
        </w:rPr>
        <w:fldChar w:fldCharType="separate"/>
      </w:r>
      <w:r>
        <w:rPr>
          <w:rFonts w:hint="eastAsia" w:asciiTheme="minorEastAsia" w:hAnsiTheme="minorEastAsia" w:eastAsiaTheme="minorEastAsia" w:cstheme="minorEastAsia"/>
          <w:color w:val="000000"/>
          <w:sz w:val="28"/>
          <w:szCs w:val="28"/>
          <w:lang w:val="en-US"/>
        </w:rPr>
        <w:t>财政部 国家税务总局关于个人所得税若干政策问题的通知</w:t>
      </w:r>
      <w:r>
        <w:rPr>
          <w:rFonts w:hint="eastAsia" w:asciiTheme="minorEastAsia" w:hAnsiTheme="minorEastAsia" w:eastAsiaTheme="minorEastAsia" w:cstheme="minorEastAsia"/>
          <w:color w:val="000000"/>
          <w:sz w:val="28"/>
          <w:szCs w:val="28"/>
          <w:lang w:val="en-US"/>
        </w:rPr>
        <w:fldChar w:fldCharType="end"/>
      </w:r>
      <w:r>
        <w:rPr>
          <w:rFonts w:hint="eastAsia" w:asciiTheme="minorEastAsia" w:hAnsiTheme="minorEastAsia" w:eastAsiaTheme="minorEastAsia" w:cstheme="minorEastAsia"/>
          <w:color w:val="000000"/>
          <w:sz w:val="28"/>
          <w:szCs w:val="28"/>
          <w:lang w:val="en-US"/>
        </w:rPr>
        <w:t>》（</w:t>
      </w:r>
      <w:r>
        <w:rPr>
          <w:rFonts w:hint="eastAsia" w:asciiTheme="minorEastAsia" w:hAnsiTheme="minorEastAsia" w:eastAsiaTheme="minorEastAsia" w:cstheme="minorEastAsia"/>
          <w:color w:val="000000"/>
          <w:sz w:val="28"/>
          <w:szCs w:val="28"/>
          <w:lang w:val="en-US"/>
        </w:rPr>
        <w:fldChar w:fldCharType="begin"/>
      </w:r>
      <w:r>
        <w:rPr>
          <w:rFonts w:hint="eastAsia" w:asciiTheme="minorEastAsia" w:hAnsiTheme="minorEastAsia" w:eastAsiaTheme="minorEastAsia" w:cstheme="minorEastAsia"/>
          <w:color w:val="000000"/>
          <w:sz w:val="28"/>
          <w:szCs w:val="28"/>
          <w:lang w:val="en-US"/>
        </w:rPr>
        <w:instrText xml:space="preserve"> HYPERLINK "https://www.shui5.cn/article/3f/5835.html" </w:instrText>
      </w:r>
      <w:r>
        <w:rPr>
          <w:rFonts w:hint="eastAsia" w:asciiTheme="minorEastAsia" w:hAnsiTheme="minorEastAsia" w:eastAsiaTheme="minorEastAsia" w:cstheme="minorEastAsia"/>
          <w:color w:val="000000"/>
          <w:sz w:val="28"/>
          <w:szCs w:val="28"/>
          <w:lang w:val="en-US"/>
        </w:rPr>
        <w:fldChar w:fldCharType="separate"/>
      </w:r>
      <w:r>
        <w:rPr>
          <w:rFonts w:hint="eastAsia" w:asciiTheme="minorEastAsia" w:hAnsiTheme="minorEastAsia" w:eastAsiaTheme="minorEastAsia" w:cstheme="minorEastAsia"/>
          <w:color w:val="000000"/>
          <w:sz w:val="28"/>
          <w:szCs w:val="28"/>
          <w:lang w:val="en-US"/>
        </w:rPr>
        <w:t>财税</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rPr>
        <w:t>1994</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rPr>
        <w:t>20号</w:t>
      </w:r>
      <w:r>
        <w:rPr>
          <w:rFonts w:hint="eastAsia" w:asciiTheme="minorEastAsia" w:hAnsiTheme="minorEastAsia" w:eastAsiaTheme="minorEastAsia" w:cstheme="minorEastAsia"/>
          <w:color w:val="000000"/>
          <w:sz w:val="28"/>
          <w:szCs w:val="28"/>
          <w:lang w:val="en-US"/>
        </w:rPr>
        <w:fldChar w:fldCharType="end"/>
      </w:r>
      <w:r>
        <w:rPr>
          <w:rFonts w:hint="eastAsia" w:asciiTheme="minorEastAsia" w:hAnsiTheme="minorEastAsia" w:eastAsiaTheme="minorEastAsia" w:cstheme="minorEastAsia"/>
          <w:color w:val="000000"/>
          <w:sz w:val="28"/>
          <w:szCs w:val="28"/>
          <w:lang w:val="en-US"/>
        </w:rPr>
        <w:t>）、《</w:t>
      </w:r>
      <w:r>
        <w:rPr>
          <w:rFonts w:hint="eastAsia" w:asciiTheme="minorEastAsia" w:hAnsiTheme="minorEastAsia" w:eastAsiaTheme="minorEastAsia" w:cstheme="minorEastAsia"/>
          <w:color w:val="000000"/>
          <w:sz w:val="28"/>
          <w:szCs w:val="28"/>
          <w:lang w:val="en-US"/>
        </w:rPr>
        <w:fldChar w:fldCharType="begin"/>
      </w:r>
      <w:r>
        <w:rPr>
          <w:rFonts w:hint="eastAsia" w:asciiTheme="minorEastAsia" w:hAnsiTheme="minorEastAsia" w:eastAsiaTheme="minorEastAsia" w:cstheme="minorEastAsia"/>
          <w:color w:val="000000"/>
          <w:sz w:val="28"/>
          <w:szCs w:val="28"/>
          <w:lang w:val="en-US"/>
        </w:rPr>
        <w:instrText xml:space="preserve"> HYPERLINK "https://www.shui5.cn/article/e6/17534.html" </w:instrText>
      </w:r>
      <w:r>
        <w:rPr>
          <w:rFonts w:hint="eastAsia" w:asciiTheme="minorEastAsia" w:hAnsiTheme="minorEastAsia" w:eastAsiaTheme="minorEastAsia" w:cstheme="minorEastAsia"/>
          <w:color w:val="000000"/>
          <w:sz w:val="28"/>
          <w:szCs w:val="28"/>
          <w:lang w:val="en-US"/>
        </w:rPr>
        <w:fldChar w:fldCharType="separate"/>
      </w:r>
      <w:r>
        <w:rPr>
          <w:rFonts w:hint="eastAsia" w:asciiTheme="minorEastAsia" w:hAnsiTheme="minorEastAsia" w:eastAsiaTheme="minorEastAsia" w:cstheme="minorEastAsia"/>
          <w:color w:val="000000"/>
          <w:sz w:val="28"/>
          <w:szCs w:val="28"/>
          <w:lang w:val="en-US"/>
        </w:rPr>
        <w:t>国家税务总局关于外籍个人取得有关补贴征免个人所得税执行问题的通知</w:t>
      </w:r>
      <w:r>
        <w:rPr>
          <w:rFonts w:hint="eastAsia" w:asciiTheme="minorEastAsia" w:hAnsiTheme="minorEastAsia" w:eastAsiaTheme="minorEastAsia" w:cstheme="minorEastAsia"/>
          <w:color w:val="000000"/>
          <w:sz w:val="28"/>
          <w:szCs w:val="28"/>
          <w:lang w:val="en-US"/>
        </w:rPr>
        <w:fldChar w:fldCharType="end"/>
      </w:r>
      <w:r>
        <w:rPr>
          <w:rFonts w:hint="eastAsia" w:asciiTheme="minorEastAsia" w:hAnsiTheme="minorEastAsia" w:eastAsiaTheme="minorEastAsia" w:cstheme="minorEastAsia"/>
          <w:color w:val="000000"/>
          <w:sz w:val="28"/>
          <w:szCs w:val="28"/>
          <w:lang w:val="en-US"/>
        </w:rPr>
        <w:t>》（</w:t>
      </w:r>
      <w:r>
        <w:rPr>
          <w:rFonts w:hint="eastAsia" w:asciiTheme="minorEastAsia" w:hAnsiTheme="minorEastAsia" w:eastAsiaTheme="minorEastAsia" w:cstheme="minorEastAsia"/>
          <w:color w:val="000000"/>
          <w:sz w:val="28"/>
          <w:szCs w:val="28"/>
          <w:lang w:val="en-US"/>
        </w:rPr>
        <w:fldChar w:fldCharType="begin"/>
      </w:r>
      <w:r>
        <w:rPr>
          <w:rFonts w:hint="eastAsia" w:asciiTheme="minorEastAsia" w:hAnsiTheme="minorEastAsia" w:eastAsiaTheme="minorEastAsia" w:cstheme="minorEastAsia"/>
          <w:color w:val="000000"/>
          <w:sz w:val="28"/>
          <w:szCs w:val="28"/>
          <w:lang w:val="en-US"/>
        </w:rPr>
        <w:instrText xml:space="preserve"> HYPERLINK "https://www.shui5.cn/article/e6/17534.html" </w:instrText>
      </w:r>
      <w:r>
        <w:rPr>
          <w:rFonts w:hint="eastAsia" w:asciiTheme="minorEastAsia" w:hAnsiTheme="minorEastAsia" w:eastAsiaTheme="minorEastAsia" w:cstheme="minorEastAsia"/>
          <w:color w:val="000000"/>
          <w:sz w:val="28"/>
          <w:szCs w:val="28"/>
          <w:lang w:val="en-US"/>
        </w:rPr>
        <w:fldChar w:fldCharType="separate"/>
      </w:r>
      <w:r>
        <w:rPr>
          <w:rFonts w:hint="eastAsia" w:asciiTheme="minorEastAsia" w:hAnsiTheme="minorEastAsia" w:eastAsiaTheme="minorEastAsia" w:cstheme="minorEastAsia"/>
          <w:color w:val="000000"/>
          <w:sz w:val="28"/>
          <w:szCs w:val="28"/>
          <w:lang w:val="en-US"/>
        </w:rPr>
        <w:t>国税发</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rPr>
        <w:t>1997</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rPr>
        <w:t>54号</w:t>
      </w:r>
      <w:r>
        <w:rPr>
          <w:rFonts w:hint="eastAsia" w:asciiTheme="minorEastAsia" w:hAnsiTheme="minorEastAsia" w:eastAsiaTheme="minorEastAsia" w:cstheme="minorEastAsia"/>
          <w:color w:val="000000"/>
          <w:sz w:val="28"/>
          <w:szCs w:val="28"/>
          <w:lang w:val="en-US"/>
        </w:rPr>
        <w:fldChar w:fldCharType="end"/>
      </w:r>
      <w:r>
        <w:rPr>
          <w:rFonts w:hint="eastAsia" w:asciiTheme="minorEastAsia" w:hAnsiTheme="minorEastAsia" w:eastAsiaTheme="minorEastAsia" w:cstheme="minorEastAsia"/>
          <w:color w:val="000000"/>
          <w:sz w:val="28"/>
          <w:szCs w:val="28"/>
          <w:lang w:val="en-US"/>
        </w:rPr>
        <w:t>）和《</w:t>
      </w:r>
      <w:r>
        <w:rPr>
          <w:rFonts w:hint="eastAsia" w:asciiTheme="minorEastAsia" w:hAnsiTheme="minorEastAsia" w:eastAsiaTheme="minorEastAsia" w:cstheme="minorEastAsia"/>
          <w:color w:val="000000"/>
          <w:sz w:val="28"/>
          <w:szCs w:val="28"/>
          <w:lang w:val="en-US"/>
        </w:rPr>
        <w:fldChar w:fldCharType="begin"/>
      </w:r>
      <w:r>
        <w:rPr>
          <w:rFonts w:hint="eastAsia" w:asciiTheme="minorEastAsia" w:hAnsiTheme="minorEastAsia" w:eastAsiaTheme="minorEastAsia" w:cstheme="minorEastAsia"/>
          <w:color w:val="000000"/>
          <w:sz w:val="28"/>
          <w:szCs w:val="28"/>
          <w:lang w:val="en-US"/>
        </w:rPr>
        <w:instrText xml:space="preserve"> HYPERLINK "https://www.shui5.cn/article/c2/36889.html" </w:instrText>
      </w:r>
      <w:r>
        <w:rPr>
          <w:rFonts w:hint="eastAsia" w:asciiTheme="minorEastAsia" w:hAnsiTheme="minorEastAsia" w:eastAsiaTheme="minorEastAsia" w:cstheme="minorEastAsia"/>
          <w:color w:val="000000"/>
          <w:sz w:val="28"/>
          <w:szCs w:val="28"/>
          <w:lang w:val="en-US"/>
        </w:rPr>
        <w:fldChar w:fldCharType="separate"/>
      </w:r>
      <w:r>
        <w:rPr>
          <w:rFonts w:hint="eastAsia" w:asciiTheme="minorEastAsia" w:hAnsiTheme="minorEastAsia" w:eastAsiaTheme="minorEastAsia" w:cstheme="minorEastAsia"/>
          <w:color w:val="000000"/>
          <w:sz w:val="28"/>
          <w:szCs w:val="28"/>
          <w:lang w:val="en-US"/>
        </w:rPr>
        <w:t>财政部 国家税务总局关于外籍个人取得港澳地区住房等补贴征免个人所得税的通知</w:t>
      </w:r>
      <w:r>
        <w:rPr>
          <w:rFonts w:hint="eastAsia" w:asciiTheme="minorEastAsia" w:hAnsiTheme="minorEastAsia" w:eastAsiaTheme="minorEastAsia" w:cstheme="minorEastAsia"/>
          <w:color w:val="000000"/>
          <w:sz w:val="28"/>
          <w:szCs w:val="28"/>
          <w:lang w:val="en-US"/>
        </w:rPr>
        <w:fldChar w:fldCharType="end"/>
      </w:r>
      <w:r>
        <w:rPr>
          <w:rFonts w:hint="eastAsia" w:asciiTheme="minorEastAsia" w:hAnsiTheme="minorEastAsia" w:eastAsiaTheme="minorEastAsia" w:cstheme="minorEastAsia"/>
          <w:color w:val="000000"/>
          <w:sz w:val="28"/>
          <w:szCs w:val="28"/>
          <w:lang w:val="en-US"/>
        </w:rPr>
        <w:t>》（</w:t>
      </w:r>
      <w:r>
        <w:rPr>
          <w:rFonts w:hint="eastAsia" w:asciiTheme="minorEastAsia" w:hAnsiTheme="minorEastAsia" w:eastAsiaTheme="minorEastAsia" w:cstheme="minorEastAsia"/>
          <w:color w:val="000000"/>
          <w:sz w:val="28"/>
          <w:szCs w:val="28"/>
          <w:lang w:val="en-US"/>
        </w:rPr>
        <w:fldChar w:fldCharType="begin"/>
      </w:r>
      <w:r>
        <w:rPr>
          <w:rFonts w:hint="eastAsia" w:asciiTheme="minorEastAsia" w:hAnsiTheme="minorEastAsia" w:eastAsiaTheme="minorEastAsia" w:cstheme="minorEastAsia"/>
          <w:color w:val="000000"/>
          <w:sz w:val="28"/>
          <w:szCs w:val="28"/>
          <w:lang w:val="en-US"/>
        </w:rPr>
        <w:instrText xml:space="preserve"> HYPERLINK "https://www.shui5.cn/article/c2/36889.html" </w:instrText>
      </w:r>
      <w:r>
        <w:rPr>
          <w:rFonts w:hint="eastAsia" w:asciiTheme="minorEastAsia" w:hAnsiTheme="minorEastAsia" w:eastAsiaTheme="minorEastAsia" w:cstheme="minorEastAsia"/>
          <w:color w:val="000000"/>
          <w:sz w:val="28"/>
          <w:szCs w:val="28"/>
          <w:lang w:val="en-US"/>
        </w:rPr>
        <w:fldChar w:fldCharType="separate"/>
      </w:r>
      <w:r>
        <w:rPr>
          <w:rFonts w:hint="eastAsia" w:asciiTheme="minorEastAsia" w:hAnsiTheme="minorEastAsia" w:eastAsiaTheme="minorEastAsia" w:cstheme="minorEastAsia"/>
          <w:color w:val="000000"/>
          <w:sz w:val="28"/>
          <w:szCs w:val="28"/>
          <w:lang w:val="en-US"/>
        </w:rPr>
        <w:t>财税</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rPr>
        <w:t>2004</w:t>
      </w:r>
      <w:r>
        <w:rPr>
          <w:rFonts w:hint="eastAsia" w:asciiTheme="minorEastAsia" w:hAnsiTheme="minorEastAsia" w:eastAsiaTheme="minorEastAsia" w:cstheme="minorEastAsia"/>
          <w:b w:val="0"/>
          <w:bCs w:val="0"/>
          <w:color w:val="000000"/>
          <w:sz w:val="28"/>
          <w:szCs w:val="28"/>
          <w:lang w:val="en-US" w:eastAsia="zh-CN" w:bidi="zh-CN"/>
        </w:rPr>
        <w:t>〕</w:t>
      </w:r>
      <w:r>
        <w:rPr>
          <w:rFonts w:hint="eastAsia" w:asciiTheme="minorEastAsia" w:hAnsiTheme="minorEastAsia" w:eastAsiaTheme="minorEastAsia" w:cstheme="minorEastAsia"/>
          <w:color w:val="000000"/>
          <w:sz w:val="28"/>
          <w:szCs w:val="28"/>
          <w:lang w:val="en-US"/>
        </w:rPr>
        <w:t>29号</w:t>
      </w:r>
      <w:r>
        <w:rPr>
          <w:rFonts w:hint="eastAsia" w:asciiTheme="minorEastAsia" w:hAnsiTheme="minorEastAsia" w:eastAsiaTheme="minorEastAsia" w:cstheme="minorEastAsia"/>
          <w:color w:val="000000"/>
          <w:sz w:val="28"/>
          <w:szCs w:val="28"/>
          <w:lang w:val="en-US"/>
        </w:rPr>
        <w:fldChar w:fldCharType="end"/>
      </w:r>
      <w:r>
        <w:rPr>
          <w:rFonts w:hint="eastAsia" w:asciiTheme="minorEastAsia" w:hAnsiTheme="minorEastAsia" w:eastAsiaTheme="minorEastAsia" w:cstheme="minorEastAsia"/>
          <w:color w:val="000000"/>
          <w:sz w:val="28"/>
          <w:szCs w:val="28"/>
          <w:lang w:val="en-US"/>
        </w:rPr>
        <w:t>）规定，享受住房补贴、语言训练费、子女教育费等津补贴免税优惠政策</w:t>
      </w:r>
      <w:r>
        <w:rPr>
          <w:rFonts w:hint="eastAsia" w:asciiTheme="minorEastAsia" w:hAnsiTheme="minorEastAsia" w:eastAsiaTheme="minorEastAsia" w:cstheme="minorEastAsia"/>
          <w:color w:val="000000"/>
          <w:sz w:val="28"/>
          <w:szCs w:val="28"/>
          <w:lang w:val="en-US" w:eastAsia="zh-CN"/>
        </w:rPr>
        <w:t>。</w:t>
      </w:r>
    </w:p>
    <w:p>
      <w:pPr>
        <w:keepNext w:val="0"/>
        <w:keepLines w:val="0"/>
        <w:pageBreakBefore w:val="0"/>
        <w:widowControl w:val="0"/>
        <w:kinsoku/>
        <w:wordWrap/>
        <w:overflowPunct/>
        <w:topLinePunct w:val="0"/>
        <w:autoSpaceDE w:val="0"/>
        <w:autoSpaceDN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rPr>
      </w:pPr>
      <w:r>
        <w:rPr>
          <w:rFonts w:hint="eastAsia" w:asciiTheme="minorEastAsia" w:hAnsiTheme="minorEastAsia" w:eastAsiaTheme="minorEastAsia" w:cstheme="minorEastAsia"/>
          <w:b/>
          <w:color w:val="000000"/>
          <w:sz w:val="28"/>
          <w:szCs w:val="28"/>
        </w:rPr>
        <w:t>【享受条件】</w:t>
      </w:r>
    </w:p>
    <w:p>
      <w:pPr>
        <w:keepNext w:val="0"/>
        <w:keepLines w:val="0"/>
        <w:pageBreakBefore w:val="0"/>
        <w:widowControl w:val="0"/>
        <w:kinsoku/>
        <w:wordWrap/>
        <w:overflowPunct/>
        <w:topLinePunct w:val="0"/>
        <w:autoSpaceDE w:val="0"/>
        <w:autoSpaceDN w:val="0"/>
        <w:bidi w:val="0"/>
        <w:adjustRightInd/>
        <w:snapToGrid/>
        <w:spacing w:line="600" w:lineRule="exact"/>
        <w:ind w:firstLine="560" w:firstLineChars="200"/>
        <w:jc w:val="both"/>
        <w:textAlignment w:val="auto"/>
        <w:outlineLvl w:val="2"/>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外籍个人符合居民个人条件</w:t>
      </w:r>
      <w:r>
        <w:rPr>
          <w:rFonts w:hint="eastAsia" w:asciiTheme="minorEastAsia" w:hAnsiTheme="minorEastAsia" w:eastAsiaTheme="minorEastAsia" w:cstheme="minorEastAsia"/>
          <w:color w:val="000000"/>
          <w:sz w:val="28"/>
          <w:szCs w:val="28"/>
          <w:lang w:val="en-US"/>
        </w:rPr>
        <w:t>，可以选择享受个人所得税专项附加扣除，</w:t>
      </w:r>
      <w:r>
        <w:rPr>
          <w:rFonts w:hint="eastAsia" w:asciiTheme="minorEastAsia" w:hAnsiTheme="minorEastAsia" w:eastAsiaTheme="minorEastAsia" w:cstheme="minorEastAsia"/>
          <w:color w:val="000000"/>
          <w:sz w:val="28"/>
          <w:szCs w:val="28"/>
          <w:lang w:val="en-US" w:eastAsia="zh-CN"/>
        </w:rPr>
        <w:t>也可以选择享受</w:t>
      </w:r>
      <w:r>
        <w:rPr>
          <w:rFonts w:hint="eastAsia" w:asciiTheme="minorEastAsia" w:hAnsiTheme="minorEastAsia" w:eastAsiaTheme="minorEastAsia" w:cstheme="minorEastAsia"/>
          <w:color w:val="000000"/>
          <w:sz w:val="28"/>
          <w:szCs w:val="28"/>
          <w:lang w:val="en-US"/>
        </w:rPr>
        <w:t>住房补贴、语言训练费、子女教育费等津补贴免税优惠政策</w:t>
      </w:r>
      <w:r>
        <w:rPr>
          <w:rFonts w:hint="eastAsia" w:asciiTheme="minorEastAsia" w:hAnsiTheme="minorEastAsia" w:eastAsiaTheme="minorEastAsia" w:cstheme="minorEastAsia"/>
          <w:color w:val="000000"/>
          <w:sz w:val="28"/>
          <w:szCs w:val="28"/>
          <w:lang w:val="en-US" w:eastAsia="zh-CN"/>
        </w:rPr>
        <w:t>，</w:t>
      </w:r>
      <w:r>
        <w:rPr>
          <w:rFonts w:hint="eastAsia" w:asciiTheme="minorEastAsia" w:hAnsiTheme="minorEastAsia" w:eastAsiaTheme="minorEastAsia" w:cstheme="minorEastAsia"/>
          <w:color w:val="000000"/>
          <w:sz w:val="28"/>
          <w:szCs w:val="28"/>
          <w:lang w:val="en-US"/>
        </w:rPr>
        <w:t>但不得同时享受。外籍个人一经选择，在一个纳税年度内不得变更。</w:t>
      </w:r>
    </w:p>
    <w:p>
      <w:pPr>
        <w:keepNext w:val="0"/>
        <w:keepLines w:val="0"/>
        <w:pageBreakBefore w:val="0"/>
        <w:widowControl w:val="0"/>
        <w:kinsoku/>
        <w:wordWrap/>
        <w:overflowPunct/>
        <w:topLinePunct w:val="0"/>
        <w:autoSpaceDE w:val="0"/>
        <w:autoSpaceDN w:val="0"/>
        <w:bidi w:val="0"/>
        <w:adjustRightInd/>
        <w:snapToGrid/>
        <w:spacing w:line="600" w:lineRule="exact"/>
        <w:ind w:left="520"/>
        <w:jc w:val="both"/>
        <w:textAlignment w:val="auto"/>
        <w:outlineLvl w:val="2"/>
        <w:rPr>
          <w:rFonts w:hint="eastAsia" w:asciiTheme="minorEastAsia" w:hAnsiTheme="minorEastAsia" w:eastAsiaTheme="minorEastAsia" w:cstheme="minorEastAsia"/>
          <w:b/>
          <w:color w:val="000000"/>
          <w:sz w:val="28"/>
          <w:szCs w:val="28"/>
          <w:lang w:val="en-US"/>
        </w:rPr>
      </w:pPr>
      <w:r>
        <w:rPr>
          <w:rFonts w:hint="eastAsia" w:asciiTheme="minorEastAsia" w:hAnsiTheme="minorEastAsia" w:eastAsiaTheme="minorEastAsia" w:cstheme="minorEastAsia"/>
          <w:b/>
          <w:color w:val="000000"/>
          <w:sz w:val="28"/>
          <w:szCs w:val="28"/>
          <w:lang w:val="en-US"/>
        </w:rPr>
        <w:t>【政策依据】</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snapToGrid/>
        <w:spacing w:beforeAutospacing="0" w:afterAutospacing="0" w:line="600" w:lineRule="exact"/>
        <w:ind w:left="0" w:right="0" w:firstLine="560" w:firstLineChars="200"/>
        <w:jc w:val="left"/>
        <w:textAlignment w:val="auto"/>
        <w:outlineLvl w:val="9"/>
        <w:rPr>
          <w:rFonts w:hint="eastAsia" w:asciiTheme="minorEastAsia" w:hAnsiTheme="minorEastAsia" w:eastAsiaTheme="minorEastAsia" w:cstheme="minorEastAsia"/>
          <w:b w:val="0"/>
          <w:bCs w:val="0"/>
          <w:color w:val="000000"/>
          <w:sz w:val="28"/>
          <w:szCs w:val="28"/>
          <w:lang w:val="en-US" w:eastAsia="zh-CN" w:bidi="zh-CN"/>
        </w:rPr>
      </w:pPr>
      <w:r>
        <w:rPr>
          <w:rFonts w:hint="eastAsia" w:asciiTheme="minorEastAsia" w:hAnsiTheme="minorEastAsia" w:eastAsiaTheme="minorEastAsia" w:cstheme="minorEastAsia"/>
          <w:b w:val="0"/>
          <w:bCs w:val="0"/>
          <w:color w:val="000000"/>
          <w:sz w:val="28"/>
          <w:szCs w:val="28"/>
          <w:lang w:val="en-US" w:eastAsia="zh-CN" w:bidi="zh-CN"/>
        </w:rPr>
        <w:t>1.《财政部 税务总局关于延续实施外籍个人津补贴等有关个人所得税优惠政策的公告》（2021年第43号）</w:t>
      </w:r>
    </w:p>
    <w:p>
      <w:pPr>
        <w:pStyle w:val="30"/>
        <w:keepNext w:val="0"/>
        <w:keepLines w:val="0"/>
        <w:pageBreakBefore w:val="0"/>
        <w:widowControl w:val="0"/>
        <w:kinsoku/>
        <w:wordWrap/>
        <w:overflowPunct/>
        <w:topLinePunct w:val="0"/>
        <w:autoSpaceDE w:val="0"/>
        <w:autoSpaceDN w:val="0"/>
        <w:bidi w:val="0"/>
        <w:adjustRightInd/>
        <w:snapToGrid/>
        <w:spacing w:before="0" w:line="600" w:lineRule="exact"/>
        <w:ind w:left="0" w:firstLine="560" w:firstLineChars="200"/>
        <w:jc w:val="both"/>
        <w:textAlignment w:val="auto"/>
        <w:outlineLvl w:val="9"/>
        <w:rPr>
          <w:rFonts w:hint="eastAsia" w:asciiTheme="minorEastAsia" w:hAnsiTheme="minorEastAsia" w:eastAsiaTheme="minorEastAsia" w:cstheme="minorEastAsia"/>
          <w:b w:val="0"/>
          <w:bCs w:val="0"/>
          <w:color w:val="000000"/>
          <w:sz w:val="28"/>
          <w:szCs w:val="28"/>
          <w:lang w:val="en-US" w:eastAsia="zh-CN" w:bidi="zh-CN"/>
        </w:rPr>
      </w:pPr>
      <w:r>
        <w:rPr>
          <w:rFonts w:hint="eastAsia" w:asciiTheme="minorEastAsia" w:hAnsiTheme="minorEastAsia" w:eastAsiaTheme="minorEastAsia" w:cstheme="minorEastAsia"/>
          <w:b w:val="0"/>
          <w:bCs w:val="0"/>
          <w:color w:val="000000"/>
          <w:sz w:val="28"/>
          <w:szCs w:val="28"/>
          <w:lang w:val="en-US" w:eastAsia="zh-CN" w:bidi="zh-CN"/>
        </w:rPr>
        <w:t>2.《财政部 税务总局关于个人所得税法修改后有关优惠政策衔接问题的通知》（财税〔2018〕164号）</w:t>
      </w:r>
    </w:p>
    <w:p>
      <w:pPr>
        <w:pStyle w:val="4"/>
        <w:keepNext w:val="0"/>
        <w:keepLines w:val="0"/>
        <w:pageBreakBefore w:val="0"/>
        <w:widowControl w:val="0"/>
        <w:tabs>
          <w:tab w:val="left" w:pos="484"/>
        </w:tabs>
        <w:kinsoku/>
        <w:wordWrap/>
        <w:overflowPunct/>
        <w:topLinePunct w:val="0"/>
        <w:bidi w:val="0"/>
        <w:adjustRightInd/>
        <w:snapToGrid/>
        <w:spacing w:line="600" w:lineRule="exact"/>
        <w:ind w:left="0"/>
        <w:jc w:val="both"/>
        <w:textAlignment w:val="auto"/>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 xml:space="preserve"> </w:t>
      </w:r>
    </w:p>
    <w:p>
      <w:pPr>
        <w:keepNext w:val="0"/>
        <w:keepLines w:val="0"/>
        <w:pageBreakBefore w:val="0"/>
        <w:widowControl w:val="0"/>
        <w:kinsoku/>
        <w:wordWrap/>
        <w:overflowPunct/>
        <w:topLinePunct w:val="0"/>
        <w:bidi w:val="0"/>
        <w:adjustRightInd/>
        <w:snapToGrid/>
        <w:spacing w:line="600" w:lineRule="exact"/>
        <w:ind w:firstLine="280" w:firstLineChars="100"/>
        <w:jc w:val="both"/>
        <w:textAlignment w:val="auto"/>
        <w:outlineLvl w:val="2"/>
        <w:rPr>
          <w:rFonts w:hint="eastAsia" w:asciiTheme="minorEastAsia" w:hAnsiTheme="minorEastAsia" w:eastAsiaTheme="minorEastAsia" w:cstheme="minorEastAsia"/>
          <w:sz w:val="28"/>
          <w:szCs w:val="28"/>
          <w:lang w:val="en-US" w:eastAsia="zh-CN"/>
        </w:rPr>
      </w:pPr>
    </w:p>
    <w:p>
      <w:pPr>
        <w:pStyle w:val="30"/>
        <w:keepNext w:val="0"/>
        <w:keepLines w:val="0"/>
        <w:pageBreakBefore w:val="0"/>
        <w:widowControl w:val="0"/>
        <w:kinsoku/>
        <w:wordWrap/>
        <w:overflowPunct/>
        <w:topLinePunct w:val="0"/>
        <w:autoSpaceDE w:val="0"/>
        <w:autoSpaceDN w:val="0"/>
        <w:bidi w:val="0"/>
        <w:adjustRightInd/>
        <w:snapToGrid/>
        <w:spacing w:before="0" w:line="600" w:lineRule="exact"/>
        <w:ind w:left="0"/>
        <w:jc w:val="both"/>
        <w:textAlignment w:val="auto"/>
        <w:outlineLvl w:val="2"/>
        <w:rPr>
          <w:rFonts w:hint="eastAsia" w:ascii="宋体" w:hAnsi="宋体" w:eastAsia="宋体" w:cs="宋体"/>
          <w:color w:val="000000"/>
          <w:sz w:val="32"/>
          <w:szCs w:val="32"/>
          <w:lang w:val="en-US"/>
        </w:rPr>
      </w:pPr>
    </w:p>
    <w:p>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bidi w:val="0"/>
        <w:adjustRightInd/>
        <w:snapToGrid/>
        <w:spacing w:before="0" w:beforeAutospacing="0" w:after="422" w:afterAutospacing="0" w:line="22" w:lineRule="atLeast"/>
        <w:ind w:left="0" w:right="0" w:firstLine="480"/>
        <w:jc w:val="right"/>
        <w:textAlignment w:val="auto"/>
        <w:rPr>
          <w:rFonts w:hint="eastAsia" w:ascii="宋体" w:hAnsi="宋体" w:eastAsia="宋体" w:cs="宋体"/>
          <w:i w:val="0"/>
          <w:iCs w:val="0"/>
          <w:caps w:val="0"/>
          <w:color w:val="333333"/>
          <w:spacing w:val="0"/>
          <w:sz w:val="24"/>
          <w:szCs w:val="24"/>
          <w:shd w:val="clear" w:color="auto" w:fill="FFFFFF"/>
        </w:rPr>
      </w:pPr>
    </w:p>
    <w:p>
      <w:pPr>
        <w:keepNext w:val="0"/>
        <w:keepLines w:val="0"/>
        <w:pageBreakBefore w:val="0"/>
        <w:widowControl w:val="0"/>
        <w:kinsoku/>
        <w:wordWrap/>
        <w:overflowPunct/>
        <w:topLinePunct w:val="0"/>
        <w:bidi w:val="0"/>
        <w:adjustRightInd/>
        <w:snapToGrid/>
        <w:textAlignment w:val="auto"/>
        <w:rPr>
          <w:sz w:val="32"/>
          <w:szCs w:val="32"/>
          <w:lang w:val="en-US"/>
        </w:rPr>
      </w:pPr>
    </w:p>
    <w:p>
      <w:pPr>
        <w:keepNext w:val="0"/>
        <w:keepLines w:val="0"/>
        <w:pageBreakBefore w:val="0"/>
        <w:widowControl w:val="0"/>
        <w:kinsoku/>
        <w:wordWrap/>
        <w:overflowPunct/>
        <w:topLinePunct w:val="0"/>
        <w:bidi w:val="0"/>
        <w:adjustRightInd/>
        <w:snapToGrid/>
        <w:textAlignment w:val="auto"/>
        <w:rPr>
          <w:sz w:val="32"/>
          <w:szCs w:val="32"/>
          <w:lang w:val="en-US"/>
        </w:rPr>
      </w:pPr>
    </w:p>
    <w:p>
      <w:pPr>
        <w:keepNext w:val="0"/>
        <w:keepLines w:val="0"/>
        <w:pageBreakBefore w:val="0"/>
        <w:widowControl w:val="0"/>
        <w:kinsoku/>
        <w:wordWrap/>
        <w:overflowPunct/>
        <w:topLinePunct w:val="0"/>
        <w:bidi w:val="0"/>
        <w:adjustRightInd/>
        <w:snapToGrid/>
        <w:textAlignment w:val="auto"/>
        <w:rPr>
          <w:sz w:val="32"/>
          <w:szCs w:val="32"/>
          <w:lang w:val="en-US"/>
        </w:rPr>
      </w:pPr>
    </w:p>
    <w:bookmarkEnd w:id="316"/>
    <w:bookmarkEnd w:id="485"/>
    <w:bookmarkEnd w:id="507"/>
    <w:p>
      <w:pPr>
        <w:keepNext w:val="0"/>
        <w:keepLines w:val="0"/>
        <w:pageBreakBefore w:val="0"/>
        <w:widowControl w:val="0"/>
        <w:kinsoku/>
        <w:wordWrap/>
        <w:overflowPunct/>
        <w:topLinePunct w:val="0"/>
        <w:bidi w:val="0"/>
        <w:adjustRightInd/>
        <w:snapToGrid/>
        <w:textAlignment w:val="auto"/>
        <w:rPr>
          <w:sz w:val="32"/>
          <w:szCs w:val="32"/>
          <w:lang w:val="en-US"/>
        </w:rPr>
      </w:pPr>
    </w:p>
    <w:sectPr>
      <w:footerReference r:id="rId10" w:type="default"/>
      <w:pgSz w:w="11910" w:h="16840"/>
      <w:pgMar w:top="1580" w:right="1500" w:bottom="1100" w:left="1280" w:header="0" w:footer="913" w:gutter="0"/>
      <w:cols w:space="720" w:num="1"/>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邓先祺" w:date="2022-04-08T16:57:00Z" w:initials="邓先祺">
    <w:p w14:paraId="6FFF509A">
      <w:pPr>
        <w:pStyle w:val="7"/>
        <w:rPr>
          <w:rFonts w:hint="eastAsia" w:ascii="微软雅黑" w:hAnsi="微软雅黑" w:eastAsia="微软雅黑" w:cs="微软雅黑"/>
          <w:i w:val="0"/>
          <w:iCs w:val="0"/>
          <w:caps w:val="0"/>
          <w:color w:val="000000"/>
          <w:spacing w:val="0"/>
          <w:sz w:val="42"/>
          <w:szCs w:val="42"/>
          <w:shd w:val="clear" w:color="auto" w:fill="FFFFFF"/>
          <w:lang w:val="en-US" w:eastAsia="zh-CN"/>
        </w:rPr>
      </w:pPr>
      <w:r>
        <w:rPr>
          <w:rFonts w:hint="eastAsia" w:ascii="微软雅黑" w:hAnsi="微软雅黑" w:eastAsia="微软雅黑" w:cs="微软雅黑"/>
          <w:i w:val="0"/>
          <w:iCs w:val="0"/>
          <w:caps w:val="0"/>
          <w:color w:val="000000"/>
          <w:spacing w:val="0"/>
          <w:sz w:val="42"/>
          <w:szCs w:val="42"/>
          <w:shd w:val="clear" w:color="auto" w:fill="FFFFFF"/>
          <w:lang w:eastAsia="zh-CN"/>
        </w:rPr>
        <w:t>根据《关于</w:t>
      </w:r>
      <w:r>
        <w:rPr>
          <w:rFonts w:hint="eastAsia" w:ascii="微软雅黑" w:hAnsi="微软雅黑" w:eastAsia="微软雅黑" w:cs="微软雅黑"/>
          <w:i w:val="0"/>
          <w:iCs w:val="0"/>
          <w:caps w:val="0"/>
          <w:color w:val="000000"/>
          <w:spacing w:val="0"/>
          <w:sz w:val="42"/>
          <w:szCs w:val="42"/>
          <w:shd w:val="clear" w:color="auto" w:fill="FFFFFF"/>
          <w:lang w:val="en-US" w:eastAsia="zh-CN"/>
        </w:rPr>
        <w:t>&lt;</w:t>
      </w:r>
      <w:r>
        <w:rPr>
          <w:rFonts w:ascii="微软雅黑" w:hAnsi="微软雅黑" w:eastAsia="微软雅黑" w:cs="微软雅黑"/>
          <w:i w:val="0"/>
          <w:iCs w:val="0"/>
          <w:caps w:val="0"/>
          <w:color w:val="000000"/>
          <w:spacing w:val="0"/>
          <w:sz w:val="42"/>
          <w:szCs w:val="42"/>
          <w:shd w:val="clear" w:color="auto" w:fill="FFFFFF"/>
        </w:rPr>
        <w:t>国家税务总局 财政部关于延续实施制造业中小微企业延缓缴纳部分税费有关事项的公告</w:t>
      </w:r>
      <w:r>
        <w:rPr>
          <w:rFonts w:hint="eastAsia" w:ascii="微软雅黑" w:hAnsi="微软雅黑" w:eastAsia="微软雅黑" w:cs="微软雅黑"/>
          <w:i w:val="0"/>
          <w:iCs w:val="0"/>
          <w:caps w:val="0"/>
          <w:color w:val="000000"/>
          <w:spacing w:val="0"/>
          <w:sz w:val="42"/>
          <w:szCs w:val="42"/>
          <w:shd w:val="clear" w:color="auto" w:fill="FFFFFF"/>
          <w:lang w:val="en-US" w:eastAsia="zh-CN"/>
        </w:rPr>
        <w:t>&gt;</w:t>
      </w:r>
      <w:r>
        <w:rPr>
          <w:rFonts w:ascii="微软雅黑" w:hAnsi="微软雅黑" w:eastAsia="微软雅黑" w:cs="微软雅黑"/>
          <w:i w:val="0"/>
          <w:iCs w:val="0"/>
          <w:caps w:val="0"/>
          <w:color w:val="000000"/>
          <w:spacing w:val="0"/>
          <w:sz w:val="42"/>
          <w:szCs w:val="42"/>
          <w:shd w:val="clear" w:color="auto" w:fill="FFFFFF"/>
        </w:rPr>
        <w:t>的解读</w:t>
      </w:r>
      <w:r>
        <w:rPr>
          <w:rFonts w:hint="eastAsia" w:ascii="微软雅黑" w:hAnsi="微软雅黑" w:eastAsia="微软雅黑" w:cs="微软雅黑"/>
          <w:i w:val="0"/>
          <w:iCs w:val="0"/>
          <w:caps w:val="0"/>
          <w:color w:val="000000"/>
          <w:spacing w:val="0"/>
          <w:sz w:val="42"/>
          <w:szCs w:val="42"/>
          <w:shd w:val="clear" w:color="auto" w:fill="FFFFFF"/>
          <w:lang w:eastAsia="zh-CN"/>
        </w:rPr>
        <w:t>》，延长</w:t>
      </w:r>
      <w:r>
        <w:rPr>
          <w:rFonts w:hint="eastAsia" w:ascii="微软雅黑" w:hAnsi="微软雅黑" w:eastAsia="微软雅黑" w:cs="微软雅黑"/>
          <w:i w:val="0"/>
          <w:iCs w:val="0"/>
          <w:caps w:val="0"/>
          <w:color w:val="000000"/>
          <w:spacing w:val="0"/>
          <w:sz w:val="42"/>
          <w:szCs w:val="42"/>
          <w:shd w:val="clear" w:color="auto" w:fill="FFFFFF"/>
          <w:lang w:val="en-US" w:eastAsia="zh-CN"/>
        </w:rPr>
        <w:t>2021年第四季度部分税费缓交期限，应以原2021年底30号公告的时间（2021年9月30日）确定能否延长。</w:t>
      </w:r>
    </w:p>
    <w:p w14:paraId="3B8FB064">
      <w:pPr>
        <w:pStyle w:val="7"/>
        <w:rPr>
          <w:rFonts w:hint="default" w:ascii="微软雅黑" w:hAnsi="微软雅黑" w:eastAsia="微软雅黑" w:cs="微软雅黑"/>
          <w:i w:val="0"/>
          <w:iCs w:val="0"/>
          <w:caps w:val="0"/>
          <w:color w:val="000000"/>
          <w:spacing w:val="0"/>
          <w:sz w:val="42"/>
          <w:szCs w:val="42"/>
          <w:shd w:val="clear" w:color="auto" w:fill="FFFFFF"/>
          <w:lang w:val="en-US" w:eastAsia="zh-CN"/>
        </w:rPr>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B8FB064"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Math TeX Gyre">
    <w:panose1 w:val="02000503000000000000"/>
    <w:charset w:val="00"/>
    <w:family w:val="auto"/>
    <w:pitch w:val="default"/>
    <w:sig w:usb0="A10000EF" w:usb1="4201F9EE" w:usb2="02000000" w:usb3="00000000" w:csb0="60000193" w:csb1="0DD40000"/>
  </w:font>
  <w:font w:name="FreeSerif">
    <w:panose1 w:val="02020603050405020304"/>
    <w:charset w:val="00"/>
    <w:family w:val="auto"/>
    <w:pitch w:val="default"/>
    <w:sig w:usb0="E59FAFFF" w:usb1="C200FDFF" w:usb2="43501B29" w:usb3="04000043" w:csb0="600101FF" w:csb1="FFFF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8"/>
      <w:spacing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10"/>
                            <w:jc w:val="center"/>
                          </w:pPr>
                          <w:r>
                            <w:fldChar w:fldCharType="begin"/>
                          </w:r>
                          <w:r>
                            <w:instrText xml:space="preserve">PAGE   \* MERGEFORMAT</w:instrText>
                          </w:r>
                          <w:r>
                            <w:fldChar w:fldCharType="separate"/>
                          </w:r>
                          <w:r>
                            <w:t>27</w:t>
                          </w:r>
                          <w:r>
                            <w:fldChar w:fldCharType="end"/>
                          </w:r>
                        </w:p>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LNJWO7QAAAABQEAAA8AAAAAAAAAAQAgAAAAOAAAAGRycy9kb3ducmV2LnhtbFBL&#10;AQIUABQAAAAIAIdO4kBLyS7wIQIAADcEAAAOAAAAAAAAAAEAIAAAADUBAABkcnMvZTJvRG9jLnht&#10;bFBLBQYAAAAABgAGAFkBAADIBQAAAAA=&#10;">
              <v:fill on="f" focussize="0,0"/>
              <v:stroke on="f" weight="0.5pt"/>
              <v:imagedata o:title=""/>
              <o:lock v:ext="edit" aspectratio="f"/>
              <v:textbox inset="0mm,0mm,0mm,0mm" style="mso-fit-shape-to-text:t;">
                <w:txbxContent>
                  <w:p>
                    <w:pPr>
                      <w:pStyle w:val="10"/>
                      <w:jc w:val="center"/>
                    </w:pPr>
                    <w:r>
                      <w:fldChar w:fldCharType="begin"/>
                    </w:r>
                    <w:r>
                      <w:instrText xml:space="preserve">PAGE   \* MERGEFORMAT</w:instrText>
                    </w:r>
                    <w:r>
                      <w:fldChar w:fldCharType="separate"/>
                    </w:r>
                    <w:r>
                      <w:t>27</w:t>
                    </w:r>
                    <w:r>
                      <w:fldChar w:fldCharType="end"/>
                    </w:r>
                  </w:p>
                  <w:p/>
                </w:txbxContent>
              </v:textbox>
            </v:shape>
          </w:pict>
        </mc:Fallback>
      </mc:AlternateContent>
    </w:r>
  </w:p>
  <w:p>
    <w:pPr>
      <w:pStyle w:val="8"/>
      <w:spacing w:line="14" w:lineRule="auto"/>
      <w:ind w:left="0"/>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yh7uYIgIAADc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Y6+ItGhDxO7OpcepdBtu77V&#10;rSmP6NSZM1W85asGpayZD0/MgRsoH3wPjzgqaZDS9BIltXGf/vYe/TEyWClpwbWCaiwDJfKtxigj&#10;LQfBDcJ2EPRe3RuQd4w9sjyJ+OCCHMTKGfURS7CMOSomPQIzzZENgxrE+wCtN2KZuFguL/reumZX&#10;Xz+DmJaFtd5Y3o86ouftch+AdhpCxOwMFIYXFbAzjbHfpEj/X/Xkdd33x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Moe7mCICAAA3BAAADgAAAAAAAAABACAAAAA1AQAAZHJzL2Uyb0RvYy54&#10;bWxQSwUGAAAAAAYABgBZAQAAyQ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ind w:left="0"/>
      <w:rPr>
        <w:sz w:val="12"/>
      </w:rPr>
    </w:pPr>
    <w:r>
      <w:rPr>
        <w:sz w:val="12"/>
        <w:lang w:val="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48</w:t>
                          </w:r>
                          <w:r>
                            <w:rPr>
                              <w:rFonts w:hint="eastAsia"/>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5f05dGwIAACkEAAAOAAAAAAAAAAEAIAAAADUBAABkcnMvZTJvRG9jLnhtbFBLBQYA&#10;AAAABgAGAFkBAADCBQAAAAA=&#10;">
              <v:fill on="f" focussize="0,0"/>
              <v:stroke on="f" weight="0.5pt"/>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48</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邓先祺">
    <w15:presenceInfo w15:providerId="None" w15:userId="邓先祺"/>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documentProtection w:edit="readOnly" w:enforcement="0"/>
  <w:defaultTabStop w:val="720"/>
  <w:hyphenationZone w:val="360"/>
  <w:drawingGridHorizontalSpacing w:val="110"/>
  <w:displayHorizontalDrawingGridEvery w:val="1"/>
  <w:displayVerticalDrawingGridEvery w:val="1"/>
  <w:noPunctuationKerning w:val="true"/>
  <w:characterSpacingControl w:val="doNotCompress"/>
  <w:hdrShapeDefaults>
    <o:shapelayout v:ext="edit">
      <o:idmap v:ext="edit" data="2"/>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8EE"/>
    <w:rsid w:val="00027559"/>
    <w:rsid w:val="00027D3E"/>
    <w:rsid w:val="00030AB6"/>
    <w:rsid w:val="0003206C"/>
    <w:rsid w:val="00034BF2"/>
    <w:rsid w:val="000673A3"/>
    <w:rsid w:val="00072E63"/>
    <w:rsid w:val="00075ED3"/>
    <w:rsid w:val="00086D92"/>
    <w:rsid w:val="00087D49"/>
    <w:rsid w:val="0009494E"/>
    <w:rsid w:val="000C17D8"/>
    <w:rsid w:val="000C1E93"/>
    <w:rsid w:val="000D08EE"/>
    <w:rsid w:val="000E1EE4"/>
    <w:rsid w:val="000E320D"/>
    <w:rsid w:val="000E7EB3"/>
    <w:rsid w:val="000F76CB"/>
    <w:rsid w:val="001031C2"/>
    <w:rsid w:val="00107B4B"/>
    <w:rsid w:val="00122BBA"/>
    <w:rsid w:val="00123A77"/>
    <w:rsid w:val="00132050"/>
    <w:rsid w:val="00140B72"/>
    <w:rsid w:val="00151967"/>
    <w:rsid w:val="00167C26"/>
    <w:rsid w:val="00170DAD"/>
    <w:rsid w:val="00182BBE"/>
    <w:rsid w:val="001C3B08"/>
    <w:rsid w:val="001C4320"/>
    <w:rsid w:val="00200B41"/>
    <w:rsid w:val="002061CE"/>
    <w:rsid w:val="00206609"/>
    <w:rsid w:val="00213F49"/>
    <w:rsid w:val="00222593"/>
    <w:rsid w:val="00237F73"/>
    <w:rsid w:val="002420CD"/>
    <w:rsid w:val="002675DF"/>
    <w:rsid w:val="00271CB4"/>
    <w:rsid w:val="0028423E"/>
    <w:rsid w:val="00285F01"/>
    <w:rsid w:val="00286E85"/>
    <w:rsid w:val="002A3F8F"/>
    <w:rsid w:val="002A6AB4"/>
    <w:rsid w:val="002B0B8E"/>
    <w:rsid w:val="002B194A"/>
    <w:rsid w:val="002B3C5C"/>
    <w:rsid w:val="002D1C4A"/>
    <w:rsid w:val="002F335C"/>
    <w:rsid w:val="003027EC"/>
    <w:rsid w:val="00303EBA"/>
    <w:rsid w:val="00303F56"/>
    <w:rsid w:val="00313616"/>
    <w:rsid w:val="00316DE9"/>
    <w:rsid w:val="00343CEF"/>
    <w:rsid w:val="00371232"/>
    <w:rsid w:val="003716DA"/>
    <w:rsid w:val="00383CA9"/>
    <w:rsid w:val="00392534"/>
    <w:rsid w:val="00394625"/>
    <w:rsid w:val="003B16E6"/>
    <w:rsid w:val="003B7341"/>
    <w:rsid w:val="003C6D85"/>
    <w:rsid w:val="003D01AC"/>
    <w:rsid w:val="003D4E95"/>
    <w:rsid w:val="003D59DD"/>
    <w:rsid w:val="003D6ED2"/>
    <w:rsid w:val="003D715C"/>
    <w:rsid w:val="0040477C"/>
    <w:rsid w:val="00406532"/>
    <w:rsid w:val="00413842"/>
    <w:rsid w:val="00436ABF"/>
    <w:rsid w:val="00450238"/>
    <w:rsid w:val="00465457"/>
    <w:rsid w:val="004659C3"/>
    <w:rsid w:val="00470BB1"/>
    <w:rsid w:val="0047277A"/>
    <w:rsid w:val="004845E4"/>
    <w:rsid w:val="00495DB4"/>
    <w:rsid w:val="004A252B"/>
    <w:rsid w:val="004A58D2"/>
    <w:rsid w:val="004B0E0B"/>
    <w:rsid w:val="004B63C3"/>
    <w:rsid w:val="004C12C1"/>
    <w:rsid w:val="004C38A0"/>
    <w:rsid w:val="004D495B"/>
    <w:rsid w:val="004D7C6F"/>
    <w:rsid w:val="004E0FE6"/>
    <w:rsid w:val="004F559B"/>
    <w:rsid w:val="004F7C59"/>
    <w:rsid w:val="00513298"/>
    <w:rsid w:val="005178B9"/>
    <w:rsid w:val="00523753"/>
    <w:rsid w:val="00527AA0"/>
    <w:rsid w:val="00535469"/>
    <w:rsid w:val="005632FE"/>
    <w:rsid w:val="00563F12"/>
    <w:rsid w:val="005669AF"/>
    <w:rsid w:val="0056795E"/>
    <w:rsid w:val="00580145"/>
    <w:rsid w:val="005922EA"/>
    <w:rsid w:val="005A6A7F"/>
    <w:rsid w:val="005A6B80"/>
    <w:rsid w:val="005C6683"/>
    <w:rsid w:val="005D166E"/>
    <w:rsid w:val="005D2DB9"/>
    <w:rsid w:val="005E68FD"/>
    <w:rsid w:val="00610773"/>
    <w:rsid w:val="00617B81"/>
    <w:rsid w:val="00626723"/>
    <w:rsid w:val="00630B5E"/>
    <w:rsid w:val="00640F52"/>
    <w:rsid w:val="00651C6E"/>
    <w:rsid w:val="00654A50"/>
    <w:rsid w:val="00657AFF"/>
    <w:rsid w:val="0066401B"/>
    <w:rsid w:val="006672F5"/>
    <w:rsid w:val="006924EB"/>
    <w:rsid w:val="006E2E82"/>
    <w:rsid w:val="007012C0"/>
    <w:rsid w:val="00712048"/>
    <w:rsid w:val="00737F43"/>
    <w:rsid w:val="007529E0"/>
    <w:rsid w:val="0077203B"/>
    <w:rsid w:val="00777CBB"/>
    <w:rsid w:val="007C5939"/>
    <w:rsid w:val="007C675F"/>
    <w:rsid w:val="007D2970"/>
    <w:rsid w:val="007D48BC"/>
    <w:rsid w:val="007D5B08"/>
    <w:rsid w:val="007E0219"/>
    <w:rsid w:val="007F714B"/>
    <w:rsid w:val="00833B56"/>
    <w:rsid w:val="008413C3"/>
    <w:rsid w:val="00854BFB"/>
    <w:rsid w:val="008569BC"/>
    <w:rsid w:val="00863248"/>
    <w:rsid w:val="00863D17"/>
    <w:rsid w:val="00864282"/>
    <w:rsid w:val="00873081"/>
    <w:rsid w:val="00875994"/>
    <w:rsid w:val="0088123E"/>
    <w:rsid w:val="0089160D"/>
    <w:rsid w:val="00896F2A"/>
    <w:rsid w:val="008A6618"/>
    <w:rsid w:val="008A6FBA"/>
    <w:rsid w:val="008D2DD4"/>
    <w:rsid w:val="008D4CB7"/>
    <w:rsid w:val="008E247B"/>
    <w:rsid w:val="008F1FBB"/>
    <w:rsid w:val="008F2F09"/>
    <w:rsid w:val="008F32D9"/>
    <w:rsid w:val="00917C8E"/>
    <w:rsid w:val="009228B6"/>
    <w:rsid w:val="00931CF4"/>
    <w:rsid w:val="00955039"/>
    <w:rsid w:val="00961A9B"/>
    <w:rsid w:val="009723B6"/>
    <w:rsid w:val="0098193D"/>
    <w:rsid w:val="009865B7"/>
    <w:rsid w:val="009B7D5D"/>
    <w:rsid w:val="009D79F5"/>
    <w:rsid w:val="009D7C8B"/>
    <w:rsid w:val="009E017C"/>
    <w:rsid w:val="009E7DE6"/>
    <w:rsid w:val="009F0A2A"/>
    <w:rsid w:val="00A028E0"/>
    <w:rsid w:val="00A1412C"/>
    <w:rsid w:val="00A223DA"/>
    <w:rsid w:val="00A249BA"/>
    <w:rsid w:val="00A308A7"/>
    <w:rsid w:val="00A35FEE"/>
    <w:rsid w:val="00A400F3"/>
    <w:rsid w:val="00A41C5C"/>
    <w:rsid w:val="00A43E2F"/>
    <w:rsid w:val="00A50865"/>
    <w:rsid w:val="00A84CA3"/>
    <w:rsid w:val="00A92EA9"/>
    <w:rsid w:val="00A96B3E"/>
    <w:rsid w:val="00AA01BC"/>
    <w:rsid w:val="00AB007A"/>
    <w:rsid w:val="00AB0AFE"/>
    <w:rsid w:val="00AF312B"/>
    <w:rsid w:val="00AF43E4"/>
    <w:rsid w:val="00AF6E69"/>
    <w:rsid w:val="00AF75F3"/>
    <w:rsid w:val="00B23331"/>
    <w:rsid w:val="00B273B9"/>
    <w:rsid w:val="00B27D2C"/>
    <w:rsid w:val="00B74B07"/>
    <w:rsid w:val="00B764CE"/>
    <w:rsid w:val="00B82515"/>
    <w:rsid w:val="00B84FBB"/>
    <w:rsid w:val="00B85D60"/>
    <w:rsid w:val="00B96FF7"/>
    <w:rsid w:val="00BA060F"/>
    <w:rsid w:val="00BB0585"/>
    <w:rsid w:val="00BB24D1"/>
    <w:rsid w:val="00BB36E9"/>
    <w:rsid w:val="00BE40C6"/>
    <w:rsid w:val="00BE5720"/>
    <w:rsid w:val="00BF0216"/>
    <w:rsid w:val="00BF08D0"/>
    <w:rsid w:val="00BF53E6"/>
    <w:rsid w:val="00C030F1"/>
    <w:rsid w:val="00C22076"/>
    <w:rsid w:val="00C31BBB"/>
    <w:rsid w:val="00C332C7"/>
    <w:rsid w:val="00C4219A"/>
    <w:rsid w:val="00C449E1"/>
    <w:rsid w:val="00C47784"/>
    <w:rsid w:val="00C62254"/>
    <w:rsid w:val="00C63B5E"/>
    <w:rsid w:val="00C70451"/>
    <w:rsid w:val="00C7566E"/>
    <w:rsid w:val="00C80ACC"/>
    <w:rsid w:val="00C915FB"/>
    <w:rsid w:val="00C92F2A"/>
    <w:rsid w:val="00CA0E95"/>
    <w:rsid w:val="00CD5C92"/>
    <w:rsid w:val="00CE5EF4"/>
    <w:rsid w:val="00CF3B93"/>
    <w:rsid w:val="00D37FCA"/>
    <w:rsid w:val="00D55EFF"/>
    <w:rsid w:val="00D73164"/>
    <w:rsid w:val="00D77C40"/>
    <w:rsid w:val="00D82933"/>
    <w:rsid w:val="00D8567B"/>
    <w:rsid w:val="00D94BD7"/>
    <w:rsid w:val="00DB00D3"/>
    <w:rsid w:val="00DB3EBD"/>
    <w:rsid w:val="00DE45FA"/>
    <w:rsid w:val="00DE7F16"/>
    <w:rsid w:val="00E0714D"/>
    <w:rsid w:val="00E10837"/>
    <w:rsid w:val="00E11816"/>
    <w:rsid w:val="00E13208"/>
    <w:rsid w:val="00E1340B"/>
    <w:rsid w:val="00E13A1A"/>
    <w:rsid w:val="00E40378"/>
    <w:rsid w:val="00E5266D"/>
    <w:rsid w:val="00E60B6C"/>
    <w:rsid w:val="00E70A77"/>
    <w:rsid w:val="00E7494F"/>
    <w:rsid w:val="00E80A1E"/>
    <w:rsid w:val="00EA2AB1"/>
    <w:rsid w:val="00EB0A29"/>
    <w:rsid w:val="00EB32F7"/>
    <w:rsid w:val="00EC5C2A"/>
    <w:rsid w:val="00EC5FEC"/>
    <w:rsid w:val="00ED555A"/>
    <w:rsid w:val="00EE4B16"/>
    <w:rsid w:val="00EF5B29"/>
    <w:rsid w:val="00F1673A"/>
    <w:rsid w:val="00F2141B"/>
    <w:rsid w:val="00F323A8"/>
    <w:rsid w:val="00F5580C"/>
    <w:rsid w:val="00F769A5"/>
    <w:rsid w:val="00F87E18"/>
    <w:rsid w:val="00F95584"/>
    <w:rsid w:val="00FA45E1"/>
    <w:rsid w:val="00FA6081"/>
    <w:rsid w:val="00FA6277"/>
    <w:rsid w:val="00FB126E"/>
    <w:rsid w:val="00FF08BB"/>
    <w:rsid w:val="010C526D"/>
    <w:rsid w:val="01257011"/>
    <w:rsid w:val="01D823B1"/>
    <w:rsid w:val="02ED7B3A"/>
    <w:rsid w:val="03A634AC"/>
    <w:rsid w:val="04451477"/>
    <w:rsid w:val="06E93B91"/>
    <w:rsid w:val="096866CC"/>
    <w:rsid w:val="09C53EC3"/>
    <w:rsid w:val="0BA903EC"/>
    <w:rsid w:val="0BBA2035"/>
    <w:rsid w:val="0CDE2C90"/>
    <w:rsid w:val="0E8A09E8"/>
    <w:rsid w:val="0EA66A5A"/>
    <w:rsid w:val="103E0E9B"/>
    <w:rsid w:val="109A736D"/>
    <w:rsid w:val="119B7FDF"/>
    <w:rsid w:val="12685B91"/>
    <w:rsid w:val="141A6D36"/>
    <w:rsid w:val="14C153E4"/>
    <w:rsid w:val="150C43B7"/>
    <w:rsid w:val="154C45E8"/>
    <w:rsid w:val="1570644D"/>
    <w:rsid w:val="17DA085A"/>
    <w:rsid w:val="19776E86"/>
    <w:rsid w:val="1AE54AE5"/>
    <w:rsid w:val="1D154CD5"/>
    <w:rsid w:val="1E511AAA"/>
    <w:rsid w:val="1E98614F"/>
    <w:rsid w:val="1FDD37DE"/>
    <w:rsid w:val="23E26218"/>
    <w:rsid w:val="246E38A3"/>
    <w:rsid w:val="25F85AAD"/>
    <w:rsid w:val="26070C42"/>
    <w:rsid w:val="260C30E4"/>
    <w:rsid w:val="26A30063"/>
    <w:rsid w:val="26B3138E"/>
    <w:rsid w:val="27F74F0F"/>
    <w:rsid w:val="2BFC2B15"/>
    <w:rsid w:val="2D644C40"/>
    <w:rsid w:val="2DC930C7"/>
    <w:rsid w:val="2F003611"/>
    <w:rsid w:val="30E56832"/>
    <w:rsid w:val="30EB38FC"/>
    <w:rsid w:val="31A3586C"/>
    <w:rsid w:val="31CC6AD1"/>
    <w:rsid w:val="31F7456B"/>
    <w:rsid w:val="321126AB"/>
    <w:rsid w:val="33171C51"/>
    <w:rsid w:val="346A785A"/>
    <w:rsid w:val="34D02CDE"/>
    <w:rsid w:val="35061F9C"/>
    <w:rsid w:val="35B58614"/>
    <w:rsid w:val="367A4278"/>
    <w:rsid w:val="36911A22"/>
    <w:rsid w:val="36E9333E"/>
    <w:rsid w:val="374178B5"/>
    <w:rsid w:val="3A7C4526"/>
    <w:rsid w:val="3AC04B8C"/>
    <w:rsid w:val="3B084A6B"/>
    <w:rsid w:val="3BFF4033"/>
    <w:rsid w:val="3CD20FB4"/>
    <w:rsid w:val="3E7F30CA"/>
    <w:rsid w:val="3FD75280"/>
    <w:rsid w:val="3FFF8CAE"/>
    <w:rsid w:val="40031B5C"/>
    <w:rsid w:val="41B70326"/>
    <w:rsid w:val="46AC58FC"/>
    <w:rsid w:val="48750DAC"/>
    <w:rsid w:val="49022DB5"/>
    <w:rsid w:val="49315AF4"/>
    <w:rsid w:val="4AA60AF6"/>
    <w:rsid w:val="4B917F1C"/>
    <w:rsid w:val="4CF762A0"/>
    <w:rsid w:val="4DEE2A1E"/>
    <w:rsid w:val="4EFFB58E"/>
    <w:rsid w:val="51113FC4"/>
    <w:rsid w:val="511A7030"/>
    <w:rsid w:val="51BE2075"/>
    <w:rsid w:val="529152DB"/>
    <w:rsid w:val="55083445"/>
    <w:rsid w:val="558C028C"/>
    <w:rsid w:val="55BC09A5"/>
    <w:rsid w:val="56B7CF4C"/>
    <w:rsid w:val="57FE2E04"/>
    <w:rsid w:val="58392A55"/>
    <w:rsid w:val="596868BC"/>
    <w:rsid w:val="597712D1"/>
    <w:rsid w:val="5B085B50"/>
    <w:rsid w:val="5B3B37BB"/>
    <w:rsid w:val="5BDF9939"/>
    <w:rsid w:val="5C7912E2"/>
    <w:rsid w:val="5D77DF88"/>
    <w:rsid w:val="5DB86657"/>
    <w:rsid w:val="5E9734B5"/>
    <w:rsid w:val="5F38566F"/>
    <w:rsid w:val="5F4F2A92"/>
    <w:rsid w:val="604938E9"/>
    <w:rsid w:val="60FE7DFC"/>
    <w:rsid w:val="623B18B0"/>
    <w:rsid w:val="62452348"/>
    <w:rsid w:val="634D7AB3"/>
    <w:rsid w:val="638A1157"/>
    <w:rsid w:val="64530300"/>
    <w:rsid w:val="65AE2133"/>
    <w:rsid w:val="6660441C"/>
    <w:rsid w:val="67653422"/>
    <w:rsid w:val="68036D47"/>
    <w:rsid w:val="690511A5"/>
    <w:rsid w:val="6B597BB6"/>
    <w:rsid w:val="6BD75377"/>
    <w:rsid w:val="6C946E43"/>
    <w:rsid w:val="6DFFCB7E"/>
    <w:rsid w:val="6EFFFD18"/>
    <w:rsid w:val="700D05A5"/>
    <w:rsid w:val="709B581A"/>
    <w:rsid w:val="72332E73"/>
    <w:rsid w:val="72CC6BC1"/>
    <w:rsid w:val="72F20057"/>
    <w:rsid w:val="73F7C3B9"/>
    <w:rsid w:val="741A007B"/>
    <w:rsid w:val="75692C46"/>
    <w:rsid w:val="75EB565F"/>
    <w:rsid w:val="75FD9B1E"/>
    <w:rsid w:val="765D3E85"/>
    <w:rsid w:val="766F3C7D"/>
    <w:rsid w:val="775028D1"/>
    <w:rsid w:val="77FF9FA3"/>
    <w:rsid w:val="78B80F03"/>
    <w:rsid w:val="79BC7A67"/>
    <w:rsid w:val="7B172114"/>
    <w:rsid w:val="7B7E056B"/>
    <w:rsid w:val="7C353E4B"/>
    <w:rsid w:val="7C532015"/>
    <w:rsid w:val="7D5D1448"/>
    <w:rsid w:val="7DFEB17A"/>
    <w:rsid w:val="7E4FECE3"/>
    <w:rsid w:val="7ED509EA"/>
    <w:rsid w:val="7EDD5C63"/>
    <w:rsid w:val="7EEF171C"/>
    <w:rsid w:val="7F7016BB"/>
    <w:rsid w:val="7F7C428A"/>
    <w:rsid w:val="7FBE3A32"/>
    <w:rsid w:val="7FDDDA00"/>
    <w:rsid w:val="7FFE84D3"/>
    <w:rsid w:val="8E252668"/>
    <w:rsid w:val="93BBC15A"/>
    <w:rsid w:val="BE7F46FF"/>
    <w:rsid w:val="BFDF2986"/>
    <w:rsid w:val="CF753725"/>
    <w:rsid w:val="DD769125"/>
    <w:rsid w:val="DDEBEA1E"/>
    <w:rsid w:val="DDFFD6CE"/>
    <w:rsid w:val="DE5D8601"/>
    <w:rsid w:val="DFEF9711"/>
    <w:rsid w:val="E7EB632F"/>
    <w:rsid w:val="EDAF65D0"/>
    <w:rsid w:val="EF8DCC83"/>
    <w:rsid w:val="EFF3210F"/>
    <w:rsid w:val="F1227C60"/>
    <w:rsid w:val="F57D51D8"/>
    <w:rsid w:val="F5FB7338"/>
    <w:rsid w:val="F6EFDB48"/>
    <w:rsid w:val="F73B3EC5"/>
    <w:rsid w:val="F7F71F88"/>
    <w:rsid w:val="FA33D980"/>
    <w:rsid w:val="FB7A1FB6"/>
    <w:rsid w:val="FD5FC11F"/>
    <w:rsid w:val="FDFE7B7A"/>
    <w:rsid w:val="FDFE9154"/>
    <w:rsid w:val="FEBF8D6A"/>
    <w:rsid w:val="FEFFBADC"/>
    <w:rsid w:val="FF378FAE"/>
    <w:rsid w:val="FF5D7F8B"/>
    <w:rsid w:val="FFBD2F5F"/>
    <w:rsid w:val="FFF77B7D"/>
    <w:rsid w:val="FFFF61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link w:val="21"/>
    <w:qFormat/>
    <w:uiPriority w:val="1"/>
    <w:pPr>
      <w:ind w:left="100"/>
      <w:outlineLvl w:val="0"/>
    </w:pPr>
    <w:rPr>
      <w:sz w:val="36"/>
      <w:szCs w:val="36"/>
    </w:rPr>
  </w:style>
  <w:style w:type="paragraph" w:styleId="4">
    <w:name w:val="heading 2"/>
    <w:basedOn w:val="1"/>
    <w:next w:val="1"/>
    <w:link w:val="22"/>
    <w:qFormat/>
    <w:uiPriority w:val="1"/>
    <w:pPr>
      <w:ind w:left="520"/>
      <w:outlineLvl w:val="1"/>
    </w:pPr>
    <w:rPr>
      <w:b/>
      <w:bCs/>
      <w:sz w:val="32"/>
      <w:szCs w:val="32"/>
    </w:rPr>
  </w:style>
  <w:style w:type="paragraph" w:styleId="5">
    <w:name w:val="heading 3"/>
    <w:basedOn w:val="1"/>
    <w:next w:val="1"/>
    <w:unhideWhenUsed/>
    <w:qFormat/>
    <w:uiPriority w:val="0"/>
    <w:pPr>
      <w:keepNext/>
      <w:keepLines/>
      <w:spacing w:before="260" w:after="260" w:line="413" w:lineRule="auto"/>
      <w:outlineLvl w:val="2"/>
    </w:pPr>
    <w:rPr>
      <w:b/>
      <w:sz w:val="32"/>
    </w:rPr>
  </w:style>
  <w:style w:type="paragraph" w:styleId="6">
    <w:name w:val="heading 4"/>
    <w:basedOn w:val="1"/>
    <w:next w:val="1"/>
    <w:link w:val="23"/>
    <w:unhideWhenUsed/>
    <w:qFormat/>
    <w:uiPriority w:val="0"/>
    <w:pPr>
      <w:keepNext/>
      <w:keepLines/>
      <w:spacing w:before="280" w:after="290" w:line="376" w:lineRule="auto"/>
      <w:outlineLvl w:val="3"/>
    </w:pPr>
    <w:rPr>
      <w:rFonts w:ascii="Cambria" w:hAnsi="Cambria" w:eastAsia="宋体" w:cs="Times New Roman"/>
      <w:b/>
      <w:bCs/>
      <w:sz w:val="28"/>
      <w:szCs w:val="28"/>
    </w:rPr>
  </w:style>
  <w:style w:type="character" w:default="1" w:styleId="17">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7">
    <w:name w:val="annotation text"/>
    <w:basedOn w:val="1"/>
    <w:qFormat/>
    <w:uiPriority w:val="0"/>
    <w:pPr>
      <w:jc w:val="left"/>
    </w:pPr>
  </w:style>
  <w:style w:type="paragraph" w:styleId="8">
    <w:name w:val="Body Text"/>
    <w:basedOn w:val="1"/>
    <w:link w:val="24"/>
    <w:qFormat/>
    <w:uiPriority w:val="1"/>
    <w:pPr>
      <w:ind w:left="520"/>
    </w:pPr>
    <w:rPr>
      <w:sz w:val="32"/>
      <w:szCs w:val="32"/>
    </w:rPr>
  </w:style>
  <w:style w:type="paragraph" w:styleId="9">
    <w:name w:val="toc 3"/>
    <w:basedOn w:val="1"/>
    <w:next w:val="1"/>
    <w:qFormat/>
    <w:uiPriority w:val="1"/>
    <w:pPr>
      <w:spacing w:before="43"/>
      <w:ind w:left="1360" w:hanging="420"/>
    </w:pPr>
    <w:rPr>
      <w:sz w:val="21"/>
      <w:szCs w:val="21"/>
    </w:rPr>
  </w:style>
  <w:style w:type="paragraph" w:styleId="10">
    <w:name w:val="footer"/>
    <w:basedOn w:val="1"/>
    <w:link w:val="25"/>
    <w:qFormat/>
    <w:uiPriority w:val="99"/>
    <w:pPr>
      <w:tabs>
        <w:tab w:val="center" w:pos="4153"/>
        <w:tab w:val="right" w:pos="8306"/>
      </w:tabs>
      <w:snapToGrid w:val="0"/>
    </w:pPr>
    <w:rPr>
      <w:sz w:val="18"/>
    </w:rPr>
  </w:style>
  <w:style w:type="paragraph" w:styleId="11">
    <w:name w:val="header"/>
    <w:basedOn w:val="1"/>
    <w:link w:val="2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2">
    <w:name w:val="toc 1"/>
    <w:basedOn w:val="1"/>
    <w:next w:val="1"/>
    <w:qFormat/>
    <w:uiPriority w:val="39"/>
    <w:pPr>
      <w:spacing w:before="43"/>
      <w:ind w:left="1360" w:right="296" w:hanging="1360"/>
      <w:jc w:val="right"/>
    </w:pPr>
    <w:rPr>
      <w:sz w:val="21"/>
      <w:szCs w:val="21"/>
    </w:rPr>
  </w:style>
  <w:style w:type="paragraph" w:styleId="13">
    <w:name w:val="toc 2"/>
    <w:basedOn w:val="1"/>
    <w:next w:val="1"/>
    <w:qFormat/>
    <w:uiPriority w:val="39"/>
    <w:pPr>
      <w:spacing w:before="43"/>
      <w:ind w:left="520"/>
    </w:pPr>
    <w:rPr>
      <w:rFonts w:ascii="黑体" w:hAnsi="黑体" w:eastAsia="黑体" w:cs="黑体"/>
      <w:sz w:val="21"/>
      <w:szCs w:val="21"/>
    </w:rPr>
  </w:style>
  <w:style w:type="paragraph" w:styleId="14">
    <w:name w:val="Normal (Web)"/>
    <w:basedOn w:val="1"/>
    <w:qFormat/>
    <w:uiPriority w:val="0"/>
    <w:rPr>
      <w:rFonts w:cs="Times New Roman"/>
      <w:sz w:val="24"/>
      <w:lang w:val="en-US"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FollowedHyperlink"/>
    <w:basedOn w:val="17"/>
    <w:qFormat/>
    <w:uiPriority w:val="0"/>
    <w:rPr>
      <w:color w:val="333333"/>
      <w:u w:val="none"/>
    </w:rPr>
  </w:style>
  <w:style w:type="character" w:styleId="20">
    <w:name w:val="Hyperlink"/>
    <w:basedOn w:val="17"/>
    <w:qFormat/>
    <w:uiPriority w:val="99"/>
    <w:rPr>
      <w:color w:val="333333"/>
      <w:u w:val="none"/>
    </w:rPr>
  </w:style>
  <w:style w:type="character" w:customStyle="1" w:styleId="21">
    <w:name w:val="标题 1 Char"/>
    <w:basedOn w:val="17"/>
    <w:link w:val="3"/>
    <w:qFormat/>
    <w:uiPriority w:val="1"/>
    <w:rPr>
      <w:rFonts w:ascii="宋体" w:hAnsi="宋体" w:eastAsia="宋体" w:cs="宋体"/>
      <w:sz w:val="36"/>
      <w:szCs w:val="36"/>
      <w:lang w:val="zh-CN" w:bidi="zh-CN"/>
    </w:rPr>
  </w:style>
  <w:style w:type="character" w:customStyle="1" w:styleId="22">
    <w:name w:val="标题 2 Char"/>
    <w:basedOn w:val="17"/>
    <w:link w:val="4"/>
    <w:qFormat/>
    <w:uiPriority w:val="1"/>
    <w:rPr>
      <w:rFonts w:ascii="宋体" w:hAnsi="宋体" w:eastAsia="宋体" w:cs="宋体"/>
      <w:b/>
      <w:bCs/>
      <w:sz w:val="32"/>
      <w:szCs w:val="32"/>
      <w:lang w:val="zh-CN" w:bidi="zh-CN"/>
    </w:rPr>
  </w:style>
  <w:style w:type="character" w:customStyle="1" w:styleId="23">
    <w:name w:val="标题 4 Char"/>
    <w:basedOn w:val="17"/>
    <w:link w:val="6"/>
    <w:semiHidden/>
    <w:qFormat/>
    <w:uiPriority w:val="0"/>
    <w:rPr>
      <w:rFonts w:ascii="Cambria" w:hAnsi="Cambria" w:eastAsia="宋体" w:cs="Times New Roman"/>
      <w:b/>
      <w:bCs/>
      <w:sz w:val="28"/>
      <w:szCs w:val="28"/>
      <w:lang w:val="zh-CN" w:bidi="zh-CN"/>
    </w:rPr>
  </w:style>
  <w:style w:type="character" w:customStyle="1" w:styleId="24">
    <w:name w:val="正文文本 Char"/>
    <w:basedOn w:val="17"/>
    <w:link w:val="8"/>
    <w:qFormat/>
    <w:uiPriority w:val="1"/>
    <w:rPr>
      <w:rFonts w:ascii="宋体" w:hAnsi="宋体" w:eastAsia="宋体" w:cs="宋体"/>
      <w:sz w:val="32"/>
      <w:szCs w:val="32"/>
      <w:lang w:val="zh-CN" w:bidi="zh-CN"/>
    </w:rPr>
  </w:style>
  <w:style w:type="character" w:customStyle="1" w:styleId="25">
    <w:name w:val="页脚 Char"/>
    <w:basedOn w:val="17"/>
    <w:link w:val="10"/>
    <w:qFormat/>
    <w:uiPriority w:val="99"/>
    <w:rPr>
      <w:rFonts w:ascii="宋体" w:hAnsi="宋体" w:eastAsia="宋体" w:cs="宋体"/>
      <w:sz w:val="18"/>
      <w:szCs w:val="22"/>
      <w:lang w:val="zh-CN" w:bidi="zh-CN"/>
    </w:rPr>
  </w:style>
  <w:style w:type="character" w:customStyle="1" w:styleId="26">
    <w:name w:val="页眉 Char"/>
    <w:basedOn w:val="17"/>
    <w:link w:val="11"/>
    <w:qFormat/>
    <w:uiPriority w:val="99"/>
    <w:rPr>
      <w:rFonts w:ascii="宋体" w:hAnsi="宋体" w:eastAsia="宋体" w:cs="宋体"/>
      <w:sz w:val="18"/>
      <w:szCs w:val="22"/>
      <w:lang w:val="zh-CN" w:bidi="zh-CN"/>
    </w:rPr>
  </w:style>
  <w:style w:type="paragraph" w:customStyle="1" w:styleId="27">
    <w:name w:val="Normal Indent1"/>
    <w:basedOn w:val="1"/>
    <w:qFormat/>
    <w:uiPriority w:val="0"/>
    <w:pPr>
      <w:spacing w:line="660" w:lineRule="exact"/>
      <w:ind w:firstLine="720" w:firstLineChars="200"/>
    </w:pPr>
    <w:rPr>
      <w:rFonts w:eastAsia="楷体_GB2312"/>
      <w:sz w:val="36"/>
      <w:szCs w:val="36"/>
    </w:rPr>
  </w:style>
  <w:style w:type="table" w:customStyle="1" w:styleId="28">
    <w:name w:val="Table Normal"/>
    <w:unhideWhenUsed/>
    <w:qFormat/>
    <w:uiPriority w:val="2"/>
    <w:tblPr>
      <w:tblCellMar>
        <w:top w:w="0" w:type="dxa"/>
        <w:left w:w="0" w:type="dxa"/>
        <w:bottom w:w="0" w:type="dxa"/>
        <w:right w:w="0" w:type="dxa"/>
      </w:tblCellMar>
    </w:tblPr>
  </w:style>
  <w:style w:type="paragraph" w:styleId="29">
    <w:name w:val="List Paragraph"/>
    <w:basedOn w:val="1"/>
    <w:qFormat/>
    <w:uiPriority w:val="1"/>
    <w:pPr>
      <w:ind w:left="520" w:right="297" w:firstLine="640"/>
    </w:pPr>
  </w:style>
  <w:style w:type="paragraph" w:customStyle="1" w:styleId="30">
    <w:name w:val="Table Paragraph"/>
    <w:basedOn w:val="1"/>
    <w:qFormat/>
    <w:uiPriority w:val="1"/>
    <w:pPr>
      <w:spacing w:before="4"/>
      <w:ind w:left="106"/>
    </w:pPr>
  </w:style>
  <w:style w:type="character" w:customStyle="1" w:styleId="31">
    <w:name w:val="hao12"/>
    <w:basedOn w:val="17"/>
    <w:qFormat/>
    <w:uiPriority w:val="0"/>
    <w:rPr>
      <w:b/>
    </w:rPr>
  </w:style>
  <w:style w:type="character" w:customStyle="1" w:styleId="32">
    <w:name w:val="wz"/>
    <w:basedOn w:val="17"/>
    <w:qFormat/>
    <w:uiPriority w:val="0"/>
    <w:rPr>
      <w:vanish/>
      <w:color w:val="808080"/>
    </w:rPr>
  </w:style>
  <w:style w:type="character" w:customStyle="1" w:styleId="33">
    <w:name w:val="hao1"/>
    <w:basedOn w:val="17"/>
    <w:qFormat/>
    <w:uiPriority w:val="0"/>
    <w:rPr>
      <w:b/>
    </w:rPr>
  </w:style>
  <w:style w:type="character" w:customStyle="1" w:styleId="34">
    <w:name w:val="post_wemedia_info1"/>
    <w:basedOn w:val="17"/>
    <w:qFormat/>
    <w:uiPriority w:val="0"/>
  </w:style>
  <w:style w:type="paragraph" w:customStyle="1" w:styleId="35">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6">
    <w:name w:val="WPSOffice手动目录 1"/>
    <w:qFormat/>
    <w:uiPriority w:val="0"/>
    <w:rPr>
      <w:rFonts w:ascii="Times New Roman" w:hAnsi="Times New Roman" w:eastAsia="宋体" w:cs="Times New Roman"/>
      <w:lang w:val="en-US" w:eastAsia="zh-CN" w:bidi="ar-SA"/>
    </w:rPr>
  </w:style>
  <w:style w:type="paragraph" w:customStyle="1" w:styleId="37">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50</Pages>
  <Words>21754</Words>
  <Characters>23047</Characters>
  <Lines>171</Lines>
  <Paragraphs>48</Paragraphs>
  <TotalTime>133</TotalTime>
  <ScaleCrop>false</ScaleCrop>
  <LinksUpToDate>false</LinksUpToDate>
  <CharactersWithSpaces>23270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2022-04-10T02:53:00Z</dcterms:created>
  <dc:creator>undefined</dc:creator>
  <cp:lastModifiedBy>kylin</cp:lastModifiedBy>
  <cp:lastPrinted>2022-04-16T17:24:00Z</cp:lastPrinted>
  <dcterms:modified xsi:type="dcterms:W3CDTF">2022-06-09T11:59:22Z</dcterms:modified>
  <dc:title>“大众创业、万众创新”税收优惠政策指引汇编</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2021-08-13T00:00:00Z</vt:filetime>
  </property>
  <property fmtid="{D5CDD505-2E9C-101B-9397-08002B2CF9AE}" pid="3" name="Creator">
    <vt:lpwstr>WPS 文字</vt:lpwstr>
  </property>
  <property fmtid="{D5CDD505-2E9C-101B-9397-08002B2CF9AE}" pid="4" name="LastSaved">
    <vt:filetime>2022-03-26T00:00:00Z</vt:filetime>
  </property>
  <property fmtid="{D5CDD505-2E9C-101B-9397-08002B2CF9AE}" pid="5" name="KSOProductBuildVer">
    <vt:lpwstr>2052-11.8.2.9980</vt:lpwstr>
  </property>
  <property fmtid="{D5CDD505-2E9C-101B-9397-08002B2CF9AE}" pid="6" name="ICV">
    <vt:lpwstr>4E4625A9F6EB43509D522C6BE6016080</vt:lpwstr>
  </property>
</Properties>
</file>